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64A13" w:rsidRDefault="00E64A13"/>
    <w:tbl>
      <w:tblPr>
        <w:tblW w:w="10260" w:type="dxa"/>
        <w:tblInd w:w="-180" w:type="dxa"/>
        <w:tblLook w:val="0000" w:firstRow="0" w:lastRow="0" w:firstColumn="0" w:lastColumn="0" w:noHBand="0" w:noVBand="0"/>
      </w:tblPr>
      <w:tblGrid>
        <w:gridCol w:w="7200"/>
        <w:gridCol w:w="3060"/>
      </w:tblGrid>
      <w:tr w:rsidR="00E64A13" w14:paraId="11140D81" w14:textId="77777777">
        <w:tc>
          <w:tcPr>
            <w:tcW w:w="7200" w:type="dxa"/>
            <w:shd w:val="clear" w:color="auto" w:fill="auto"/>
          </w:tcPr>
          <w:p w14:paraId="0A37501D" w14:textId="77777777" w:rsidR="00E64A13" w:rsidRDefault="00E64A13">
            <w:pPr>
              <w:tabs>
                <w:tab w:val="left" w:pos="1365"/>
              </w:tabs>
              <w:snapToGrid w:val="0"/>
              <w:jc w:val="center"/>
              <w:rPr>
                <w:sz w:val="28"/>
                <w:szCs w:val="28"/>
              </w:rPr>
            </w:pPr>
          </w:p>
          <w:p w14:paraId="5DAB6C7B" w14:textId="77777777" w:rsidR="00E64A13" w:rsidRDefault="00E64A13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</w:p>
          <w:p w14:paraId="02EB378F" w14:textId="77777777" w:rsidR="00E64A13" w:rsidRDefault="00E64A13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</w:p>
          <w:p w14:paraId="32F20B5D" w14:textId="77777777" w:rsidR="00E64A13" w:rsidRDefault="00F23A4E">
            <w:pPr>
              <w:tabs>
                <w:tab w:val="left" w:pos="1365"/>
              </w:tabs>
              <w:jc w:val="center"/>
              <w:rPr>
                <w:b/>
                <w:color w:val="003300"/>
                <w:sz w:val="36"/>
                <w:szCs w:val="36"/>
              </w:rPr>
            </w:pPr>
            <w:r>
              <w:rPr>
                <w:b/>
                <w:color w:val="003300"/>
                <w:sz w:val="36"/>
                <w:szCs w:val="36"/>
              </w:rPr>
              <w:t xml:space="preserve">ПАМЯТКА </w:t>
            </w:r>
          </w:p>
          <w:p w14:paraId="6A05A809" w14:textId="77777777" w:rsidR="00E64A13" w:rsidRDefault="00E64A13">
            <w:pPr>
              <w:tabs>
                <w:tab w:val="left" w:pos="1365"/>
              </w:tabs>
              <w:jc w:val="both"/>
              <w:rPr>
                <w:b/>
                <w:color w:val="808000"/>
                <w:sz w:val="36"/>
                <w:szCs w:val="36"/>
              </w:rPr>
            </w:pPr>
          </w:p>
          <w:p w14:paraId="57F94694" w14:textId="77777777" w:rsidR="00E64A13" w:rsidRDefault="00F23A4E">
            <w:pPr>
              <w:pStyle w:val="Heading"/>
              <w:ind w:firstLine="720"/>
              <w:rPr>
                <w:b/>
                <w:color w:val="800000"/>
                <w:sz w:val="30"/>
                <w:szCs w:val="30"/>
              </w:rPr>
            </w:pPr>
            <w:r>
              <w:rPr>
                <w:b/>
                <w:color w:val="800000"/>
                <w:sz w:val="30"/>
                <w:szCs w:val="30"/>
              </w:rPr>
              <w:t xml:space="preserve">Ежемесячное пособие на ребенка военнослужащего, проходящего </w:t>
            </w:r>
          </w:p>
          <w:p w14:paraId="7C878CD7" w14:textId="77777777" w:rsidR="00E64A13" w:rsidRDefault="00F23A4E">
            <w:pPr>
              <w:pStyle w:val="Heading"/>
              <w:ind w:firstLine="720"/>
            </w:pPr>
            <w:r>
              <w:rPr>
                <w:b/>
                <w:color w:val="800000"/>
                <w:sz w:val="30"/>
                <w:szCs w:val="30"/>
              </w:rPr>
              <w:t xml:space="preserve">военную службу по призыву </w:t>
            </w:r>
          </w:p>
          <w:p w14:paraId="5A39BBE3" w14:textId="77777777" w:rsidR="00E64A13" w:rsidRDefault="00E64A13">
            <w:pPr>
              <w:pStyle w:val="Heading"/>
              <w:ind w:firstLine="720"/>
              <w:jc w:val="both"/>
              <w:rPr>
                <w:b/>
                <w:color w:val="800000"/>
                <w:sz w:val="28"/>
                <w:szCs w:val="28"/>
              </w:rPr>
            </w:pPr>
          </w:p>
          <w:p w14:paraId="41C8F396" w14:textId="77777777" w:rsidR="00E64A13" w:rsidRDefault="00E64A13">
            <w:pPr>
              <w:tabs>
                <w:tab w:val="left" w:pos="1365"/>
              </w:tabs>
              <w:jc w:val="center"/>
              <w:rPr>
                <w:b/>
                <w:color w:val="800000"/>
                <w:sz w:val="30"/>
                <w:szCs w:val="30"/>
              </w:rPr>
            </w:pPr>
          </w:p>
        </w:tc>
        <w:tc>
          <w:tcPr>
            <w:tcW w:w="3060" w:type="dxa"/>
            <w:shd w:val="clear" w:color="auto" w:fill="auto"/>
          </w:tcPr>
          <w:p w14:paraId="72A3D3EC" w14:textId="77777777" w:rsidR="00E64A13" w:rsidRDefault="00F23A4E">
            <w:pPr>
              <w:tabs>
                <w:tab w:val="left" w:pos="1365"/>
              </w:tabs>
              <w:jc w:val="center"/>
              <w:rPr>
                <w:color w:val="003300"/>
                <w:sz w:val="28"/>
                <w:szCs w:val="28"/>
              </w:rPr>
            </w:pPr>
            <w:r>
              <w:rPr>
                <w:noProof/>
                <w:color w:val="003300"/>
                <w:sz w:val="28"/>
                <w:szCs w:val="28"/>
                <w:lang w:eastAsia="ru-RU"/>
              </w:rPr>
              <w:drawing>
                <wp:inline distT="0" distB="0" distL="0" distR="0" wp14:anchorId="04342ED5" wp14:editId="07777777">
                  <wp:extent cx="1789430" cy="211645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" t="-14" r="-17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B940D" w14:textId="77777777" w:rsidR="00E64A13" w:rsidRDefault="00E64A13">
      <w:pPr>
        <w:tabs>
          <w:tab w:val="left" w:pos="1365"/>
        </w:tabs>
        <w:jc w:val="center"/>
        <w:rPr>
          <w:color w:val="333399"/>
          <w:sz w:val="16"/>
          <w:szCs w:val="16"/>
        </w:rPr>
      </w:pPr>
    </w:p>
    <w:p w14:paraId="38784EDD" w14:textId="77777777" w:rsidR="00E64A13" w:rsidRDefault="00F23A4E">
      <w:pPr>
        <w:pStyle w:val="Heading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В соответствии с Федеральным законом от 19 мая 1995 года № 81-ФЗ</w:t>
      </w:r>
    </w:p>
    <w:p w14:paraId="5C0041FB" w14:textId="77777777" w:rsidR="00E64A13" w:rsidRDefault="00F23A4E">
      <w:pPr>
        <w:pStyle w:val="Heading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«О государственных пособиях гражданам, имеющим детей»</w:t>
      </w:r>
    </w:p>
    <w:p w14:paraId="0E27B00A" w14:textId="77777777" w:rsidR="00E64A13" w:rsidRDefault="00E64A13">
      <w:pPr>
        <w:pStyle w:val="Heading"/>
        <w:ind w:firstLine="720"/>
        <w:jc w:val="both"/>
        <w:rPr>
          <w:b/>
          <w:color w:val="800000"/>
          <w:sz w:val="16"/>
          <w:szCs w:val="16"/>
        </w:rPr>
      </w:pPr>
    </w:p>
    <w:tbl>
      <w:tblPr>
        <w:tblW w:w="10413" w:type="dxa"/>
        <w:tblInd w:w="-130" w:type="dxa"/>
        <w:tblBorders>
          <w:top w:val="double" w:sz="18" w:space="0" w:color="800000"/>
          <w:left w:val="double" w:sz="18" w:space="0" w:color="800000"/>
          <w:bottom w:val="double" w:sz="4" w:space="0" w:color="800000"/>
          <w:insideH w:val="double" w:sz="4" w:space="0" w:color="800000"/>
        </w:tblBorders>
        <w:tblLook w:val="0000" w:firstRow="0" w:lastRow="0" w:firstColumn="0" w:lastColumn="0" w:noHBand="0" w:noVBand="0"/>
      </w:tblPr>
      <w:tblGrid>
        <w:gridCol w:w="2988"/>
        <w:gridCol w:w="7425"/>
      </w:tblGrid>
      <w:tr w:rsidR="00E64A13" w14:paraId="08F8B305" w14:textId="77777777" w:rsidTr="6E69E09C">
        <w:tc>
          <w:tcPr>
            <w:tcW w:w="2988" w:type="dxa"/>
            <w:tcBorders>
              <w:top w:val="double" w:sz="18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  <w:vAlign w:val="center"/>
          </w:tcPr>
          <w:p w14:paraId="301D61B7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6"/>
                <w:szCs w:val="26"/>
              </w:rPr>
              <w:t xml:space="preserve">1. Категории граждан, </w:t>
            </w:r>
            <w:r>
              <w:rPr>
                <w:b/>
                <w:color w:val="003300"/>
                <w:sz w:val="26"/>
                <w:szCs w:val="26"/>
              </w:rPr>
              <w:t>получающие данное пособие</w:t>
            </w:r>
          </w:p>
        </w:tc>
        <w:tc>
          <w:tcPr>
            <w:tcW w:w="7425" w:type="dxa"/>
            <w:tcBorders>
              <w:top w:val="double" w:sz="18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  <w:vAlign w:val="center"/>
          </w:tcPr>
          <w:p w14:paraId="483345BE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Мать ребенка военнослужащего, проходящего военную службу по призыву</w:t>
            </w:r>
          </w:p>
          <w:p w14:paraId="3706DEDD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16"/>
                <w:szCs w:val="16"/>
              </w:rPr>
            </w:pPr>
            <w:r>
              <w:rPr>
                <w:b/>
                <w:color w:val="003300"/>
                <w:sz w:val="26"/>
                <w:szCs w:val="26"/>
              </w:rPr>
              <w:t>Опекун ребенка военнослужащего, проходящего военную службу по призыву, либо другой родственник ребенка, фактически осуществляющий уход за ним, при условии наличия</w:t>
            </w:r>
            <w:r>
              <w:rPr>
                <w:b/>
                <w:color w:val="003300"/>
                <w:sz w:val="26"/>
                <w:szCs w:val="26"/>
              </w:rPr>
              <w:t xml:space="preserve"> оснований.</w:t>
            </w:r>
          </w:p>
        </w:tc>
      </w:tr>
      <w:tr w:rsidR="00E64A13" w14:paraId="324F90F8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  <w:vAlign w:val="center"/>
          </w:tcPr>
          <w:p w14:paraId="4AC89E7C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6"/>
                <w:szCs w:val="26"/>
              </w:rPr>
              <w:t>2. Куда обращаться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  <w:vAlign w:val="center"/>
          </w:tcPr>
          <w:p w14:paraId="376E3F73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6"/>
                <w:szCs w:val="26"/>
              </w:rPr>
              <w:t>Управление министерства социального развития, опеки и попечительства Иркутской области по месту жительства.</w:t>
            </w:r>
          </w:p>
        </w:tc>
      </w:tr>
      <w:tr w:rsidR="00E64A13" w14:paraId="4C677523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  <w:vAlign w:val="center"/>
          </w:tcPr>
          <w:p w14:paraId="107AA51B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3. Размер пособия</w:t>
            </w:r>
          </w:p>
          <w:p w14:paraId="61768CC1" w14:textId="64F85F8E" w:rsidR="00E64A13" w:rsidRDefault="6E69E09C" w:rsidP="00F23A4E">
            <w:pPr>
              <w:pStyle w:val="Heading"/>
              <w:jc w:val="left"/>
              <w:rPr>
                <w:b/>
                <w:bCs/>
                <w:color w:val="003300"/>
                <w:sz w:val="28"/>
                <w:szCs w:val="28"/>
              </w:rPr>
            </w:pPr>
            <w:r w:rsidRPr="6E69E09C">
              <w:rPr>
                <w:b/>
                <w:bCs/>
                <w:color w:val="003300"/>
                <w:sz w:val="26"/>
                <w:szCs w:val="26"/>
              </w:rPr>
              <w:t>с 1 февраля 20</w:t>
            </w:r>
            <w:r w:rsidR="00F23A4E">
              <w:rPr>
                <w:b/>
                <w:bCs/>
                <w:color w:val="003300"/>
                <w:sz w:val="26"/>
                <w:szCs w:val="26"/>
              </w:rPr>
              <w:t>21</w:t>
            </w:r>
            <w:r w:rsidRPr="6E69E09C">
              <w:rPr>
                <w:b/>
                <w:bCs/>
                <w:color w:val="003300"/>
                <w:sz w:val="26"/>
                <w:szCs w:val="26"/>
              </w:rPr>
              <w:t xml:space="preserve"> г.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  <w:vAlign w:val="center"/>
          </w:tcPr>
          <w:p w14:paraId="7BD9B8FC" w14:textId="2BA38A7A" w:rsidR="00E64A13" w:rsidRDefault="6E69E09C" w:rsidP="6E69E09C">
            <w:pPr>
              <w:pStyle w:val="04420435043A04410442"/>
              <w:ind w:right="230"/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</w:pP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Базовый размер – 1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2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 xml:space="preserve"> 8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17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,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91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 xml:space="preserve"> рублей;</w:t>
            </w:r>
          </w:p>
          <w:p w14:paraId="527F4471" w14:textId="7D60D936" w:rsidR="00E64A13" w:rsidRDefault="6E69E09C" w:rsidP="6E69E09C">
            <w:pPr>
              <w:pStyle w:val="04420435043A04410442"/>
              <w:ind w:right="230"/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</w:pP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- южные районы – 1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5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 xml:space="preserve"> 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381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,</w:t>
            </w:r>
            <w:r w:rsidR="00F23A4E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49</w:t>
            </w:r>
            <w:r w:rsidRPr="6E69E09C"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 xml:space="preserve"> рублей;</w:t>
            </w:r>
          </w:p>
          <w:p w14:paraId="33120727" w14:textId="4FE75252" w:rsidR="00E64A13" w:rsidRDefault="6E69E09C" w:rsidP="00F23A4E">
            <w:pPr>
              <w:pStyle w:val="Heading"/>
              <w:jc w:val="left"/>
              <w:rPr>
                <w:b/>
                <w:bCs/>
                <w:color w:val="003300"/>
                <w:sz w:val="28"/>
                <w:szCs w:val="28"/>
              </w:rPr>
            </w:pPr>
            <w:r w:rsidRPr="6E69E09C">
              <w:rPr>
                <w:b/>
                <w:bCs/>
                <w:color w:val="003300"/>
                <w:sz w:val="26"/>
                <w:szCs w:val="26"/>
              </w:rPr>
              <w:t>- северные районы – 1</w:t>
            </w:r>
            <w:r w:rsidR="00F23A4E">
              <w:rPr>
                <w:b/>
                <w:bCs/>
                <w:color w:val="003300"/>
                <w:sz w:val="26"/>
                <w:szCs w:val="26"/>
              </w:rPr>
              <w:t>6 663,28</w:t>
            </w:r>
            <w:r w:rsidRPr="6E69E09C">
              <w:rPr>
                <w:b/>
                <w:bCs/>
                <w:color w:val="003300"/>
                <w:sz w:val="26"/>
                <w:szCs w:val="26"/>
              </w:rPr>
              <w:t xml:space="preserve"> рублей.</w:t>
            </w:r>
          </w:p>
        </w:tc>
      </w:tr>
      <w:tr w:rsidR="00E64A13" w14:paraId="322B3222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  <w:vAlign w:val="center"/>
          </w:tcPr>
          <w:p w14:paraId="295A4402" w14:textId="77777777" w:rsidR="00E64A13" w:rsidRDefault="00F23A4E">
            <w:pPr>
              <w:pStyle w:val="Heading"/>
              <w:jc w:val="both"/>
            </w:pPr>
            <w:r>
              <w:rPr>
                <w:b/>
                <w:color w:val="003300"/>
                <w:sz w:val="26"/>
                <w:szCs w:val="26"/>
              </w:rPr>
              <w:t xml:space="preserve">4. Условия 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  <w:vAlign w:val="center"/>
          </w:tcPr>
          <w:p w14:paraId="0FD6A669" w14:textId="77777777" w:rsidR="00E64A13" w:rsidRDefault="00F23A4E">
            <w:pPr>
              <w:pStyle w:val="04420435043A04410442"/>
              <w:ind w:right="230" w:firstLine="0"/>
              <w:jc w:val="left"/>
              <w:rPr>
                <w:rFonts w:ascii="Times New Roman" w:hAnsi="Times New Roman" w:cs="Times New Roman"/>
                <w:b/>
                <w:color w:val="003300"/>
              </w:rPr>
            </w:pPr>
            <w:r>
              <w:rPr>
                <w:rFonts w:ascii="Times New Roman" w:hAnsi="Times New Roman" w:cs="Times New Roman"/>
                <w:b/>
                <w:bCs/>
                <w:color w:val="003300"/>
                <w:sz w:val="26"/>
                <w:szCs w:val="26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rFonts w:ascii="Times New Roman" w:hAnsi="Times New Roman" w:cs="Times New Roman"/>
                <w:b/>
                <w:bCs/>
                <w:iCs/>
                <w:color w:val="003300"/>
                <w:sz w:val="26"/>
                <w:szCs w:val="26"/>
              </w:rPr>
              <w:t>, назначается, если обращение за ним последовало не позднее шести месяцев со дня окон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color w:val="003300"/>
                <w:sz w:val="26"/>
                <w:szCs w:val="26"/>
              </w:rPr>
              <w:t xml:space="preserve">чания военнослужащим военной службы </w:t>
            </w:r>
            <w:r>
              <w:rPr>
                <w:rFonts w:ascii="Times New Roman" w:hAnsi="Times New Roman" w:cs="Times New Roman"/>
                <w:b/>
                <w:bCs/>
                <w:iCs/>
                <w:color w:val="003300"/>
                <w:sz w:val="26"/>
                <w:szCs w:val="26"/>
              </w:rPr>
              <w:t>по призыву.</w:t>
            </w:r>
          </w:p>
        </w:tc>
      </w:tr>
      <w:tr w:rsidR="00E64A13" w14:paraId="3FDDADDC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  <w:vAlign w:val="center"/>
          </w:tcPr>
          <w:p w14:paraId="13C4277F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6"/>
                <w:szCs w:val="26"/>
              </w:rPr>
              <w:t>5. Документы, предоставляемые заявителем в управление министерства социального развития, опеки и попечительства Иркутской области по месту жительства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  <w:vAlign w:val="center"/>
          </w:tcPr>
          <w:p w14:paraId="7CB35A43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1) заявление о назначении пособия;</w:t>
            </w:r>
          </w:p>
          <w:p w14:paraId="14C64466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2) копия свидетельства о рождении ребенка (детей);</w:t>
            </w:r>
          </w:p>
          <w:p w14:paraId="2DB3A49E" w14:textId="77777777" w:rsidR="00E64A13" w:rsidRDefault="00F23A4E">
            <w:pPr>
              <w:pStyle w:val="Heading"/>
              <w:jc w:val="both"/>
            </w:pPr>
            <w:r>
              <w:rPr>
                <w:b/>
                <w:color w:val="003300"/>
                <w:sz w:val="26"/>
                <w:szCs w:val="26"/>
              </w:rPr>
              <w:t xml:space="preserve">3) справка из воинской части о прохождении отцом ребенка военной службу по призыву (с указанием срока службы) по установленной форме; после окончания военной службы по призыву – из военного комиссариата по месту призыва; </w:t>
            </w:r>
          </w:p>
          <w:p w14:paraId="3D10EA6A" w14:textId="77777777" w:rsidR="00E64A13" w:rsidRDefault="00F23A4E">
            <w:pPr>
              <w:pStyle w:val="Heading"/>
              <w:jc w:val="left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6"/>
                <w:szCs w:val="26"/>
              </w:rPr>
              <w:t>4) в случае наличия соответствующи</w:t>
            </w:r>
            <w:r>
              <w:rPr>
                <w:b/>
                <w:color w:val="003300"/>
                <w:sz w:val="26"/>
                <w:szCs w:val="26"/>
              </w:rPr>
              <w:t xml:space="preserve">х оснований –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учреждения здравоохранения. </w:t>
            </w:r>
          </w:p>
        </w:tc>
      </w:tr>
      <w:tr w:rsidR="00E64A13" w14:paraId="442CD0FA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4" w:space="0" w:color="800000"/>
            </w:tcBorders>
            <w:shd w:val="clear" w:color="auto" w:fill="auto"/>
          </w:tcPr>
          <w:p w14:paraId="63BCC748" w14:textId="77777777" w:rsidR="00E64A13" w:rsidRDefault="00F23A4E">
            <w:pPr>
              <w:pStyle w:val="Heading"/>
              <w:jc w:val="left"/>
            </w:pPr>
            <w:r>
              <w:rPr>
                <w:b/>
                <w:color w:val="003300"/>
                <w:sz w:val="26"/>
                <w:szCs w:val="26"/>
              </w:rPr>
              <w:t>6. Период назначения пособия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18" w:space="0" w:color="800000"/>
            </w:tcBorders>
            <w:shd w:val="clear" w:color="auto" w:fill="auto"/>
          </w:tcPr>
          <w:p w14:paraId="7D673A78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Назначается со дня рождени</w:t>
            </w:r>
            <w:r>
              <w:rPr>
                <w:b/>
                <w:color w:val="003300"/>
                <w:sz w:val="26"/>
                <w:szCs w:val="26"/>
              </w:rPr>
              <w:t>я ребенка, но не ранее дня начала отцом ребенка военной службы по призыву.</w:t>
            </w:r>
          </w:p>
          <w:p w14:paraId="23C08A0B" w14:textId="77777777" w:rsidR="00E64A13" w:rsidRDefault="00F23A4E">
            <w:pPr>
              <w:pStyle w:val="Heading"/>
              <w:jc w:val="left"/>
            </w:pPr>
            <w:r>
              <w:rPr>
                <w:b/>
                <w:color w:val="003300"/>
                <w:sz w:val="26"/>
                <w:szCs w:val="26"/>
              </w:rPr>
              <w:t xml:space="preserve">Прекращается по достижении ребенком возраста 3 лет, но не позднее дня окончания военной службы по призыву отцом ребенка. </w:t>
            </w:r>
          </w:p>
          <w:p w14:paraId="60061E4C" w14:textId="77777777" w:rsidR="00E64A13" w:rsidRDefault="00E64A13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</w:p>
        </w:tc>
      </w:tr>
      <w:tr w:rsidR="00E64A13" w14:paraId="482E61FB" w14:textId="77777777" w:rsidTr="6E69E09C">
        <w:tc>
          <w:tcPr>
            <w:tcW w:w="2988" w:type="dxa"/>
            <w:tcBorders>
              <w:top w:val="double" w:sz="4" w:space="0" w:color="800000"/>
              <w:left w:val="double" w:sz="18" w:space="0" w:color="800000"/>
              <w:bottom w:val="double" w:sz="18" w:space="0" w:color="800000"/>
            </w:tcBorders>
            <w:shd w:val="clear" w:color="auto" w:fill="auto"/>
          </w:tcPr>
          <w:p w14:paraId="101D8399" w14:textId="77777777" w:rsidR="00E64A13" w:rsidRDefault="00F23A4E">
            <w:pPr>
              <w:pStyle w:val="Heading"/>
              <w:jc w:val="left"/>
            </w:pPr>
            <w:r>
              <w:rPr>
                <w:b/>
                <w:color w:val="003300"/>
                <w:sz w:val="26"/>
                <w:szCs w:val="26"/>
              </w:rPr>
              <w:t xml:space="preserve">7. Периодичность выплаты </w:t>
            </w:r>
          </w:p>
        </w:tc>
        <w:tc>
          <w:tcPr>
            <w:tcW w:w="7425" w:type="dxa"/>
            <w:tcBorders>
              <w:top w:val="double" w:sz="4" w:space="0" w:color="800000"/>
              <w:left w:val="double" w:sz="4" w:space="0" w:color="800000"/>
              <w:bottom w:val="double" w:sz="18" w:space="0" w:color="800000"/>
              <w:right w:val="double" w:sz="18" w:space="0" w:color="800000"/>
            </w:tcBorders>
            <w:shd w:val="clear" w:color="auto" w:fill="auto"/>
          </w:tcPr>
          <w:p w14:paraId="0C1ABEDA" w14:textId="77777777" w:rsidR="00E64A13" w:rsidRDefault="00F23A4E">
            <w:pPr>
              <w:pStyle w:val="Heading"/>
              <w:jc w:val="both"/>
              <w:rPr>
                <w:b/>
                <w:color w:val="003300"/>
                <w:sz w:val="26"/>
                <w:szCs w:val="26"/>
              </w:rPr>
            </w:pPr>
            <w:r>
              <w:rPr>
                <w:b/>
                <w:color w:val="003300"/>
                <w:sz w:val="26"/>
                <w:szCs w:val="26"/>
              </w:rPr>
              <w:t>Ежемесячно</w:t>
            </w:r>
          </w:p>
        </w:tc>
      </w:tr>
    </w:tbl>
    <w:p w14:paraId="44EAFD9C" w14:textId="77777777" w:rsidR="00E64A13" w:rsidRDefault="00E64A13">
      <w:pPr>
        <w:pStyle w:val="Heading"/>
        <w:ind w:firstLine="720"/>
        <w:jc w:val="both"/>
      </w:pPr>
    </w:p>
    <w:sectPr w:rsidR="00E64A13">
      <w:pgSz w:w="11906" w:h="16838"/>
      <w:pgMar w:top="181" w:right="748" w:bottom="567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9E09C"/>
    <w:rsid w:val="00C87B3E"/>
    <w:rsid w:val="00E64A13"/>
    <w:rsid w:val="00F23A4E"/>
    <w:rsid w:val="6E69E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jc w:val="center"/>
    </w:pPr>
    <w:rPr>
      <w:sz w:val="32"/>
      <w:szCs w:val="20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6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04420435043A04410442">
    <w:name w:val="&lt;0442&gt;&lt;0435&gt;&lt;043A&gt;&lt;0441&gt;&lt;0442&gt;"/>
    <w:basedOn w:val="a"/>
    <w:qFormat/>
    <w:pPr>
      <w:autoSpaceDE w:val="0"/>
      <w:spacing w:line="220" w:lineRule="atLeast"/>
      <w:ind w:firstLine="227"/>
      <w:jc w:val="both"/>
      <w:textAlignment w:val="center"/>
    </w:pPr>
    <w:rPr>
      <w:rFonts w:ascii="TextBookC;Courier New" w:hAnsi="TextBookC;Courier New" w:cs="TextBookC;Courier New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jc w:val="center"/>
    </w:pPr>
    <w:rPr>
      <w:sz w:val="32"/>
      <w:szCs w:val="20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6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04420435043A04410442">
    <w:name w:val="&lt;0442&gt;&lt;0435&gt;&lt;043A&gt;&lt;0441&gt;&lt;0442&gt;"/>
    <w:basedOn w:val="a"/>
    <w:qFormat/>
    <w:pPr>
      <w:autoSpaceDE w:val="0"/>
      <w:spacing w:line="220" w:lineRule="atLeast"/>
      <w:ind w:firstLine="227"/>
      <w:jc w:val="both"/>
      <w:textAlignment w:val="center"/>
    </w:pPr>
    <w:rPr>
      <w:rFonts w:ascii="TextBookC;Courier New" w:hAnsi="TextBookC;Courier New" w:cs="TextBookC;Courier New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Иркутской области «О внесении изменений в Закон Иркутской области от 22</vt:lpstr>
    </vt:vector>
  </TitlesOfParts>
  <Company>Image&amp;Matros ®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«О внесении изменений в Закон Иркутской области от 22</dc:title>
  <dc:creator>100-nsm</dc:creator>
  <cp:lastModifiedBy>Image&amp;Matros ®</cp:lastModifiedBy>
  <cp:revision>3</cp:revision>
  <cp:lastPrinted>2011-01-21T09:51:00Z</cp:lastPrinted>
  <dcterms:created xsi:type="dcterms:W3CDTF">2021-02-08T04:20:00Z</dcterms:created>
  <dcterms:modified xsi:type="dcterms:W3CDTF">2021-02-08T04:21:00Z</dcterms:modified>
  <dc:language>en-US</dc:language>
</cp:coreProperties>
</file>