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16" w:rsidRPr="00153999" w:rsidRDefault="006A7B16" w:rsidP="006A7B16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Arial"/>
          <w:b/>
          <w:bCs/>
          <w:color w:val="FF0000"/>
          <w:kern w:val="36"/>
        </w:rPr>
      </w:pPr>
      <w:bookmarkStart w:id="0" w:name="_GoBack"/>
      <w:bookmarkEnd w:id="0"/>
      <w:r w:rsidRPr="006A7B16">
        <w:rPr>
          <w:rFonts w:ascii="Comic Sans MS" w:eastAsia="Times New Roman" w:hAnsi="Comic Sans MS" w:cs="Arial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2540</wp:posOffset>
            </wp:positionV>
            <wp:extent cx="2638425" cy="2343150"/>
            <wp:effectExtent l="19050" t="0" r="9525" b="0"/>
            <wp:wrapSquare wrapText="bothSides"/>
            <wp:docPr id="1" name="Рисунок 1" descr="Порядок замены электросчетчика в частном до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рядок замены электросчетчика в частном дом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3999">
        <w:rPr>
          <w:rFonts w:ascii="Comic Sans MS" w:eastAsia="Times New Roman" w:hAnsi="Comic Sans MS" w:cs="Arial"/>
          <w:b/>
          <w:color w:val="FF0000"/>
          <w:sz w:val="24"/>
          <w:szCs w:val="24"/>
        </w:rPr>
        <w:t>Приобретение, установка, замена, допуск в эксплуатацию и эксплуатация приборов учёта электроэнергии (счётчиков) по новым правилам</w:t>
      </w:r>
    </w:p>
    <w:p w:rsidR="006A7B16" w:rsidRDefault="006A7B16" w:rsidP="0072169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</w:p>
    <w:p w:rsidR="006A7B16" w:rsidRDefault="006A7B16" w:rsidP="0072169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</w:p>
    <w:p w:rsidR="0072169B" w:rsidRPr="00BE2DBE" w:rsidRDefault="00041519" w:rsidP="0072169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r w:rsidRPr="00BE2DBE">
        <w:rPr>
          <w:rFonts w:ascii="Comic Sans MS" w:eastAsia="Times New Roman" w:hAnsi="Comic Sans MS" w:cs="Arial"/>
          <w:sz w:val="24"/>
          <w:szCs w:val="24"/>
        </w:rPr>
        <w:t xml:space="preserve">С </w:t>
      </w:r>
      <w:r w:rsidR="007B2148" w:rsidRPr="00BE2DBE">
        <w:rPr>
          <w:rFonts w:ascii="Comic Sans MS" w:eastAsia="Times New Roman" w:hAnsi="Comic Sans MS" w:cs="Arial"/>
          <w:sz w:val="24"/>
          <w:szCs w:val="24"/>
        </w:rPr>
        <w:t>1 июля 2020 года вступили в силу </w:t>
      </w:r>
      <w:hyperlink r:id="rId6" w:anchor="block_152" w:history="1">
        <w:r w:rsidR="007B2148" w:rsidRPr="00BE2DBE">
          <w:rPr>
            <w:rFonts w:ascii="Comic Sans MS" w:eastAsia="Times New Roman" w:hAnsi="Comic Sans MS" w:cs="Arial"/>
            <w:sz w:val="24"/>
            <w:szCs w:val="24"/>
          </w:rPr>
          <w:t>поправки</w:t>
        </w:r>
      </w:hyperlink>
      <w:r w:rsidR="007B2148" w:rsidRPr="00BE2DBE">
        <w:rPr>
          <w:rFonts w:ascii="Comic Sans MS" w:eastAsia="Times New Roman" w:hAnsi="Comic Sans MS" w:cs="Arial"/>
          <w:sz w:val="24"/>
          <w:szCs w:val="24"/>
        </w:rPr>
        <w:t> к Закону от 26 марта 2003 г. № 35-ФЗ "</w:t>
      </w:r>
      <w:hyperlink r:id="rId7" w:history="1">
        <w:r w:rsidR="007B2148" w:rsidRPr="00BE2DBE">
          <w:rPr>
            <w:rFonts w:ascii="Comic Sans MS" w:eastAsia="Times New Roman" w:hAnsi="Comic Sans MS" w:cs="Arial"/>
            <w:sz w:val="24"/>
            <w:szCs w:val="24"/>
          </w:rPr>
          <w:t>Об электроэнергетике</w:t>
        </w:r>
      </w:hyperlink>
      <w:r w:rsidR="007B2148" w:rsidRPr="00BE2DBE">
        <w:rPr>
          <w:rFonts w:ascii="Comic Sans MS" w:eastAsia="Times New Roman" w:hAnsi="Comic Sans MS" w:cs="Arial"/>
          <w:sz w:val="24"/>
          <w:szCs w:val="24"/>
        </w:rPr>
        <w:t>"</w:t>
      </w:r>
      <w:r w:rsidRPr="00BE2DBE">
        <w:rPr>
          <w:rFonts w:ascii="Comic Sans MS" w:eastAsia="Times New Roman" w:hAnsi="Comic Sans MS" w:cs="Arial"/>
          <w:sz w:val="24"/>
          <w:szCs w:val="24"/>
        </w:rPr>
        <w:t xml:space="preserve"> (далее – Закон «Об электроэнергетике»)</w:t>
      </w:r>
      <w:r w:rsidR="007B2148" w:rsidRPr="00BE2DBE">
        <w:rPr>
          <w:rFonts w:ascii="Comic Sans MS" w:eastAsia="Times New Roman" w:hAnsi="Comic Sans MS" w:cs="Arial"/>
          <w:sz w:val="24"/>
          <w:szCs w:val="24"/>
        </w:rPr>
        <w:t xml:space="preserve">, которыми полностью пересматриваются отношения </w:t>
      </w:r>
      <w:r w:rsidR="000E50E9" w:rsidRPr="00BE2DBE">
        <w:rPr>
          <w:rFonts w:ascii="Comic Sans MS" w:eastAsia="Times New Roman" w:hAnsi="Comic Sans MS" w:cs="Arial"/>
          <w:sz w:val="24"/>
          <w:szCs w:val="24"/>
        </w:rPr>
        <w:t xml:space="preserve">по </w:t>
      </w:r>
      <w:r w:rsidR="0072169B" w:rsidRPr="00BE2DBE">
        <w:rPr>
          <w:rFonts w:ascii="Comic Sans MS" w:eastAsia="Times New Roman" w:hAnsi="Comic Sans MS" w:cs="Arial"/>
          <w:sz w:val="24"/>
          <w:szCs w:val="24"/>
        </w:rPr>
        <w:t>приобретению, установке, замен</w:t>
      </w:r>
      <w:r w:rsidR="00074FF8">
        <w:rPr>
          <w:rFonts w:ascii="Comic Sans MS" w:eastAsia="Times New Roman" w:hAnsi="Comic Sans MS" w:cs="Arial"/>
          <w:sz w:val="24"/>
          <w:szCs w:val="24"/>
        </w:rPr>
        <w:t>е</w:t>
      </w:r>
      <w:r w:rsidR="0072169B" w:rsidRPr="00BE2DBE">
        <w:rPr>
          <w:rFonts w:ascii="Comic Sans MS" w:eastAsia="Times New Roman" w:hAnsi="Comic Sans MS" w:cs="Arial"/>
          <w:sz w:val="24"/>
          <w:szCs w:val="24"/>
        </w:rPr>
        <w:t xml:space="preserve">, </w:t>
      </w:r>
      <w:r w:rsidR="00074FF8">
        <w:rPr>
          <w:rFonts w:ascii="Comic Sans MS" w:eastAsia="Times New Roman" w:hAnsi="Comic Sans MS" w:cs="Arial"/>
          <w:sz w:val="24"/>
          <w:szCs w:val="24"/>
        </w:rPr>
        <w:t>допуску</w:t>
      </w:r>
      <w:r w:rsidR="0072169B" w:rsidRPr="00BE2DBE">
        <w:rPr>
          <w:rFonts w:ascii="Comic Sans MS" w:eastAsia="Times New Roman" w:hAnsi="Comic Sans MS" w:cs="Arial"/>
          <w:sz w:val="24"/>
          <w:szCs w:val="24"/>
        </w:rPr>
        <w:t xml:space="preserve"> в эксплуатацию и эксплуатации приборов учёта электроэнергии (счётчиков), а также </w:t>
      </w:r>
      <w:r w:rsidR="000E50E9" w:rsidRPr="00BE2DBE">
        <w:rPr>
          <w:rFonts w:ascii="Comic Sans MS" w:eastAsia="Times New Roman" w:hAnsi="Comic Sans MS" w:cs="Arial"/>
          <w:sz w:val="24"/>
          <w:szCs w:val="24"/>
        </w:rPr>
        <w:t>уч</w:t>
      </w:r>
      <w:r w:rsidR="00251043">
        <w:rPr>
          <w:rFonts w:ascii="Comic Sans MS" w:eastAsia="Times New Roman" w:hAnsi="Comic Sans MS" w:cs="Arial"/>
          <w:sz w:val="24"/>
          <w:szCs w:val="24"/>
        </w:rPr>
        <w:t>ё</w:t>
      </w:r>
      <w:r w:rsidR="000E50E9" w:rsidRPr="00BE2DBE">
        <w:rPr>
          <w:rFonts w:ascii="Comic Sans MS" w:eastAsia="Times New Roman" w:hAnsi="Comic Sans MS" w:cs="Arial"/>
          <w:sz w:val="24"/>
          <w:szCs w:val="24"/>
        </w:rPr>
        <w:t>ту потребляемого электричества между потребителями и поставщиками</w:t>
      </w:r>
      <w:r w:rsidRPr="00BE2DBE">
        <w:rPr>
          <w:rFonts w:ascii="Comic Sans MS" w:eastAsia="Times New Roman" w:hAnsi="Comic Sans MS" w:cs="Arial"/>
          <w:sz w:val="24"/>
          <w:szCs w:val="24"/>
        </w:rPr>
        <w:t>.</w:t>
      </w:r>
    </w:p>
    <w:p w:rsidR="007B2148" w:rsidRPr="00BE2DBE" w:rsidRDefault="00041519" w:rsidP="0072169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r w:rsidRPr="00BE2DBE">
        <w:rPr>
          <w:rFonts w:ascii="Comic Sans MS" w:eastAsia="Times New Roman" w:hAnsi="Comic Sans MS" w:cs="Arial"/>
          <w:sz w:val="24"/>
          <w:szCs w:val="24"/>
        </w:rPr>
        <w:t>Д</w:t>
      </w:r>
      <w:r w:rsidR="007B2148" w:rsidRPr="00BE2DBE">
        <w:rPr>
          <w:rFonts w:ascii="Comic Sans MS" w:eastAsia="Times New Roman" w:hAnsi="Comic Sans MS" w:cs="Arial"/>
          <w:sz w:val="24"/>
          <w:szCs w:val="24"/>
        </w:rPr>
        <w:t>о этой даты все связанные со счетчиками электричества обязанности</w:t>
      </w:r>
      <w:r w:rsidR="00143263">
        <w:rPr>
          <w:rFonts w:ascii="Comic Sans MS" w:eastAsia="Times New Roman" w:hAnsi="Comic Sans MS" w:cs="Arial"/>
          <w:sz w:val="24"/>
          <w:szCs w:val="24"/>
        </w:rPr>
        <w:t>несли</w:t>
      </w:r>
      <w:r w:rsidR="00E65F6D" w:rsidRPr="00BE2DBE">
        <w:rPr>
          <w:rFonts w:ascii="Comic Sans MS" w:eastAsia="Times New Roman" w:hAnsi="Comic Sans MS" w:cs="Arial"/>
          <w:sz w:val="24"/>
          <w:szCs w:val="24"/>
        </w:rPr>
        <w:t xml:space="preserve"> потребител</w:t>
      </w:r>
      <w:r w:rsidR="00143263">
        <w:rPr>
          <w:rFonts w:ascii="Comic Sans MS" w:eastAsia="Times New Roman" w:hAnsi="Comic Sans MS" w:cs="Arial"/>
          <w:sz w:val="24"/>
          <w:szCs w:val="24"/>
        </w:rPr>
        <w:t>и</w:t>
      </w:r>
      <w:r w:rsidR="00E65F6D" w:rsidRPr="00BE2DBE">
        <w:rPr>
          <w:rFonts w:ascii="Comic Sans MS" w:eastAsia="Times New Roman" w:hAnsi="Comic Sans MS" w:cs="Arial"/>
          <w:sz w:val="24"/>
          <w:szCs w:val="24"/>
        </w:rPr>
        <w:t xml:space="preserve">. </w:t>
      </w:r>
      <w:r w:rsidR="00251043">
        <w:rPr>
          <w:rFonts w:ascii="Comic Sans MS" w:eastAsia="Times New Roman" w:hAnsi="Comic Sans MS" w:cs="Arial"/>
          <w:sz w:val="24"/>
          <w:szCs w:val="24"/>
        </w:rPr>
        <w:t>То есть п</w:t>
      </w:r>
      <w:r w:rsidR="008A4135" w:rsidRPr="00BE2DBE">
        <w:rPr>
          <w:rFonts w:ascii="Comic Sans MS" w:eastAsia="Times New Roman" w:hAnsi="Comic Sans MS" w:cs="Arial"/>
          <w:sz w:val="24"/>
          <w:szCs w:val="24"/>
        </w:rPr>
        <w:t>отребитель был обязан:</w:t>
      </w:r>
    </w:p>
    <w:p w:rsidR="007B2148" w:rsidRPr="00BE2DBE" w:rsidRDefault="008A4135" w:rsidP="008A4135">
      <w:pPr>
        <w:shd w:val="clear" w:color="auto" w:fill="FFFFFF"/>
        <w:spacing w:after="0" w:line="240" w:lineRule="auto"/>
        <w:ind w:left="142"/>
        <w:jc w:val="both"/>
        <w:rPr>
          <w:rFonts w:ascii="Comic Sans MS" w:eastAsia="Times New Roman" w:hAnsi="Comic Sans MS" w:cs="Arial"/>
          <w:sz w:val="24"/>
          <w:szCs w:val="24"/>
        </w:rPr>
      </w:pPr>
      <w:r w:rsidRPr="00BE2DBE">
        <w:rPr>
          <w:rFonts w:ascii="Comic Sans MS" w:eastAsia="Times New Roman" w:hAnsi="Comic Sans MS" w:cs="Arial"/>
          <w:sz w:val="24"/>
          <w:szCs w:val="24"/>
        </w:rPr>
        <w:t>- иметь счетчик;</w:t>
      </w:r>
    </w:p>
    <w:p w:rsidR="007B2148" w:rsidRPr="00BE2DBE" w:rsidRDefault="008A4135" w:rsidP="008A4135">
      <w:pPr>
        <w:shd w:val="clear" w:color="auto" w:fill="FFFFFF"/>
        <w:spacing w:before="56" w:after="0" w:line="240" w:lineRule="auto"/>
        <w:ind w:left="142"/>
        <w:jc w:val="both"/>
        <w:rPr>
          <w:rFonts w:ascii="Comic Sans MS" w:eastAsia="Times New Roman" w:hAnsi="Comic Sans MS" w:cs="Arial"/>
          <w:sz w:val="24"/>
          <w:szCs w:val="24"/>
        </w:rPr>
      </w:pPr>
      <w:r w:rsidRPr="00BE2DBE">
        <w:rPr>
          <w:rFonts w:ascii="Comic Sans MS" w:eastAsia="Times New Roman" w:hAnsi="Comic Sans MS" w:cs="Arial"/>
          <w:sz w:val="24"/>
          <w:szCs w:val="24"/>
        </w:rPr>
        <w:t xml:space="preserve">- </w:t>
      </w:r>
      <w:r w:rsidR="007B2148" w:rsidRPr="00BE2DBE">
        <w:rPr>
          <w:rFonts w:ascii="Comic Sans MS" w:eastAsia="Times New Roman" w:hAnsi="Comic Sans MS" w:cs="Arial"/>
          <w:sz w:val="24"/>
          <w:szCs w:val="24"/>
        </w:rPr>
        <w:t xml:space="preserve">следить за сроками поверки и организовывать поверку </w:t>
      </w:r>
      <w:r w:rsidRPr="00BE2DBE">
        <w:rPr>
          <w:rFonts w:ascii="Comic Sans MS" w:eastAsia="Times New Roman" w:hAnsi="Comic Sans MS" w:cs="Arial"/>
          <w:sz w:val="24"/>
          <w:szCs w:val="24"/>
        </w:rPr>
        <w:t>счётчика;</w:t>
      </w:r>
    </w:p>
    <w:p w:rsidR="007B2148" w:rsidRPr="00BE2DBE" w:rsidRDefault="008A4135" w:rsidP="008A4135">
      <w:pPr>
        <w:shd w:val="clear" w:color="auto" w:fill="FFFFFF"/>
        <w:spacing w:before="56" w:after="0" w:line="240" w:lineRule="auto"/>
        <w:ind w:left="142"/>
        <w:jc w:val="both"/>
        <w:rPr>
          <w:rFonts w:ascii="Comic Sans MS" w:eastAsia="Times New Roman" w:hAnsi="Comic Sans MS" w:cs="Arial"/>
          <w:sz w:val="24"/>
          <w:szCs w:val="24"/>
        </w:rPr>
      </w:pPr>
      <w:r w:rsidRPr="00BE2DBE">
        <w:rPr>
          <w:rFonts w:ascii="Comic Sans MS" w:eastAsia="Times New Roman" w:hAnsi="Comic Sans MS" w:cs="Arial"/>
          <w:sz w:val="24"/>
          <w:szCs w:val="24"/>
        </w:rPr>
        <w:t xml:space="preserve">- </w:t>
      </w:r>
      <w:r w:rsidR="007B2148" w:rsidRPr="00BE2DBE">
        <w:rPr>
          <w:rFonts w:ascii="Comic Sans MS" w:eastAsia="Times New Roman" w:hAnsi="Comic Sans MS" w:cs="Arial"/>
          <w:sz w:val="24"/>
          <w:szCs w:val="24"/>
        </w:rPr>
        <w:t xml:space="preserve">заменять на новый, если старый </w:t>
      </w:r>
      <w:r w:rsidRPr="00BE2DBE">
        <w:rPr>
          <w:rFonts w:ascii="Comic Sans MS" w:eastAsia="Times New Roman" w:hAnsi="Comic Sans MS" w:cs="Arial"/>
          <w:sz w:val="24"/>
          <w:szCs w:val="24"/>
        </w:rPr>
        <w:t xml:space="preserve">счётчик </w:t>
      </w:r>
      <w:r w:rsidR="007B2148" w:rsidRPr="00BE2DBE">
        <w:rPr>
          <w:rFonts w:ascii="Comic Sans MS" w:eastAsia="Times New Roman" w:hAnsi="Comic Sans MS" w:cs="Arial"/>
          <w:sz w:val="24"/>
          <w:szCs w:val="24"/>
        </w:rPr>
        <w:t>сломался</w:t>
      </w:r>
      <w:r w:rsidRPr="00BE2DBE">
        <w:rPr>
          <w:rFonts w:ascii="Comic Sans MS" w:eastAsia="Times New Roman" w:hAnsi="Comic Sans MS" w:cs="Arial"/>
          <w:sz w:val="24"/>
          <w:szCs w:val="24"/>
        </w:rPr>
        <w:t xml:space="preserve"> или истёк срок его эксплуатации;</w:t>
      </w:r>
    </w:p>
    <w:p w:rsidR="007B2148" w:rsidRPr="00BE2DBE" w:rsidRDefault="008A4135" w:rsidP="008A4135">
      <w:pPr>
        <w:shd w:val="clear" w:color="auto" w:fill="FFFFFF"/>
        <w:spacing w:before="56" w:after="0" w:line="240" w:lineRule="auto"/>
        <w:ind w:left="142"/>
        <w:jc w:val="both"/>
        <w:rPr>
          <w:rFonts w:ascii="Comic Sans MS" w:eastAsia="Times New Roman" w:hAnsi="Comic Sans MS" w:cs="Arial"/>
          <w:sz w:val="24"/>
          <w:szCs w:val="24"/>
        </w:rPr>
      </w:pPr>
      <w:r w:rsidRPr="00BE2DBE">
        <w:rPr>
          <w:rFonts w:ascii="Comic Sans MS" w:eastAsia="Times New Roman" w:hAnsi="Comic Sans MS" w:cs="Arial"/>
          <w:sz w:val="24"/>
          <w:szCs w:val="24"/>
        </w:rPr>
        <w:t>- передавать показания</w:t>
      </w:r>
      <w:r w:rsidR="00143263">
        <w:rPr>
          <w:rFonts w:ascii="Comic Sans MS" w:eastAsia="Times New Roman" w:hAnsi="Comic Sans MS" w:cs="Arial"/>
          <w:sz w:val="24"/>
          <w:szCs w:val="24"/>
        </w:rPr>
        <w:t xml:space="preserve"> гарантирующему поставщику или сетевой организации</w:t>
      </w:r>
      <w:r w:rsidRPr="00BE2DBE">
        <w:rPr>
          <w:rFonts w:ascii="Comic Sans MS" w:eastAsia="Times New Roman" w:hAnsi="Comic Sans MS" w:cs="Arial"/>
          <w:sz w:val="24"/>
          <w:szCs w:val="24"/>
        </w:rPr>
        <w:t>.</w:t>
      </w:r>
    </w:p>
    <w:p w:rsidR="007B2148" w:rsidRPr="00775D1E" w:rsidRDefault="006E67EF" w:rsidP="00BE2DBE">
      <w:pPr>
        <w:shd w:val="clear" w:color="auto" w:fill="FFFFFF"/>
        <w:suppressAutoHyphens/>
        <w:spacing w:after="0" w:line="240" w:lineRule="auto"/>
        <w:jc w:val="both"/>
        <w:rPr>
          <w:rFonts w:ascii="Comic Sans MS" w:eastAsia="Times New Roman" w:hAnsi="Comic Sans MS" w:cs="Arial"/>
          <w:color w:val="FF0000"/>
          <w:sz w:val="24"/>
          <w:szCs w:val="24"/>
        </w:rPr>
      </w:pPr>
      <w:r w:rsidRPr="00ED5E77">
        <w:rPr>
          <w:rFonts w:ascii="Comic Sans MS" w:hAnsi="Comic Sans MS"/>
          <w:color w:val="FF0000"/>
          <w:sz w:val="24"/>
          <w:szCs w:val="24"/>
        </w:rPr>
        <w:t>С</w:t>
      </w:r>
      <w:r w:rsidR="003E0480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ED5E77">
        <w:rPr>
          <w:rFonts w:ascii="Comic Sans MS" w:eastAsia="Times New Roman" w:hAnsi="Comic Sans MS" w:cs="Arial"/>
          <w:color w:val="FF0000"/>
          <w:sz w:val="24"/>
          <w:szCs w:val="24"/>
        </w:rPr>
        <w:t>1</w:t>
      </w:r>
      <w:r w:rsidR="007B2148" w:rsidRPr="00ED5E77">
        <w:rPr>
          <w:rFonts w:ascii="Comic Sans MS" w:eastAsia="Times New Roman" w:hAnsi="Comic Sans MS" w:cs="Arial"/>
          <w:color w:val="FF0000"/>
          <w:sz w:val="24"/>
          <w:szCs w:val="24"/>
        </w:rPr>
        <w:t xml:space="preserve"> июля </w:t>
      </w:r>
      <w:r w:rsidRPr="00ED5E77">
        <w:rPr>
          <w:rFonts w:ascii="Comic Sans MS" w:eastAsia="Times New Roman" w:hAnsi="Comic Sans MS" w:cs="Arial"/>
          <w:color w:val="FF0000"/>
          <w:sz w:val="24"/>
          <w:szCs w:val="24"/>
        </w:rPr>
        <w:t xml:space="preserve">2020 года </w:t>
      </w:r>
      <w:r w:rsidR="00143263" w:rsidRPr="00ED5E77">
        <w:rPr>
          <w:rFonts w:ascii="Comic Sans MS" w:eastAsia="Times New Roman" w:hAnsi="Comic Sans MS" w:cs="Arial"/>
          <w:color w:val="FF0000"/>
          <w:sz w:val="24"/>
          <w:szCs w:val="24"/>
        </w:rPr>
        <w:t xml:space="preserve">обязанность по </w:t>
      </w:r>
      <w:r w:rsidRPr="00ED5E77">
        <w:rPr>
          <w:rFonts w:ascii="Comic Sans MS" w:eastAsia="Times New Roman" w:hAnsi="Comic Sans MS" w:cs="Arial"/>
          <w:color w:val="FF0000"/>
          <w:sz w:val="24"/>
          <w:szCs w:val="24"/>
        </w:rPr>
        <w:t>коммерческ</w:t>
      </w:r>
      <w:r w:rsidR="00143263" w:rsidRPr="00ED5E77">
        <w:rPr>
          <w:rFonts w:ascii="Comic Sans MS" w:eastAsia="Times New Roman" w:hAnsi="Comic Sans MS" w:cs="Arial"/>
          <w:color w:val="FF0000"/>
          <w:sz w:val="24"/>
          <w:szCs w:val="24"/>
        </w:rPr>
        <w:t>ому</w:t>
      </w:r>
      <w:r w:rsidRPr="00ED5E77">
        <w:rPr>
          <w:rFonts w:ascii="Comic Sans MS" w:eastAsia="Times New Roman" w:hAnsi="Comic Sans MS" w:cs="Arial"/>
          <w:color w:val="FF0000"/>
          <w:sz w:val="24"/>
          <w:szCs w:val="24"/>
        </w:rPr>
        <w:t xml:space="preserve"> уч</w:t>
      </w:r>
      <w:r w:rsidR="00251043" w:rsidRPr="00ED5E77">
        <w:rPr>
          <w:rFonts w:ascii="Comic Sans MS" w:eastAsia="Times New Roman" w:hAnsi="Comic Sans MS" w:cs="Arial"/>
          <w:color w:val="FF0000"/>
          <w:sz w:val="24"/>
          <w:szCs w:val="24"/>
        </w:rPr>
        <w:t>ё</w:t>
      </w:r>
      <w:r w:rsidRPr="00ED5E77">
        <w:rPr>
          <w:rFonts w:ascii="Comic Sans MS" w:eastAsia="Times New Roman" w:hAnsi="Comic Sans MS" w:cs="Arial"/>
          <w:color w:val="FF0000"/>
          <w:sz w:val="24"/>
          <w:szCs w:val="24"/>
        </w:rPr>
        <w:t>т</w:t>
      </w:r>
      <w:r w:rsidR="00143263" w:rsidRPr="00ED5E77">
        <w:rPr>
          <w:rFonts w:ascii="Comic Sans MS" w:eastAsia="Times New Roman" w:hAnsi="Comic Sans MS" w:cs="Arial"/>
          <w:color w:val="FF0000"/>
          <w:sz w:val="24"/>
          <w:szCs w:val="24"/>
        </w:rPr>
        <w:t>у</w:t>
      </w:r>
      <w:r w:rsidR="003E0480">
        <w:rPr>
          <w:rFonts w:ascii="Comic Sans MS" w:eastAsia="Times New Roman" w:hAnsi="Comic Sans MS" w:cs="Arial"/>
          <w:color w:val="FF0000"/>
          <w:sz w:val="24"/>
          <w:szCs w:val="24"/>
        </w:rPr>
        <w:t xml:space="preserve"> </w:t>
      </w:r>
      <w:r w:rsidR="007B2148" w:rsidRPr="00ED5E77">
        <w:rPr>
          <w:rFonts w:ascii="Comic Sans MS" w:eastAsia="Times New Roman" w:hAnsi="Comic Sans MS" w:cs="Arial"/>
          <w:color w:val="FF0000"/>
          <w:sz w:val="24"/>
          <w:szCs w:val="24"/>
        </w:rPr>
        <w:t>электроэнергии</w:t>
      </w:r>
      <w:r w:rsidR="003E0480">
        <w:rPr>
          <w:rFonts w:ascii="Comic Sans MS" w:eastAsia="Times New Roman" w:hAnsi="Comic Sans MS" w:cs="Arial"/>
          <w:color w:val="FF0000"/>
          <w:sz w:val="24"/>
          <w:szCs w:val="24"/>
        </w:rPr>
        <w:t xml:space="preserve"> </w:t>
      </w:r>
      <w:r w:rsidR="007B2148" w:rsidRPr="00ED5E77">
        <w:rPr>
          <w:rFonts w:ascii="Comic Sans MS" w:eastAsia="Times New Roman" w:hAnsi="Comic Sans MS" w:cs="Arial"/>
          <w:color w:val="FF0000"/>
          <w:sz w:val="24"/>
          <w:szCs w:val="24"/>
        </w:rPr>
        <w:t> </w:t>
      </w:r>
      <w:hyperlink r:id="rId8" w:anchor="block_375" w:history="1">
        <w:r w:rsidR="00143263" w:rsidRPr="00ED5E77">
          <w:rPr>
            <w:rFonts w:ascii="Comic Sans MS" w:eastAsia="Times New Roman" w:hAnsi="Comic Sans MS" w:cs="Arial"/>
            <w:color w:val="FF0000"/>
            <w:sz w:val="24"/>
            <w:szCs w:val="24"/>
          </w:rPr>
          <w:t>обеспечивают</w:t>
        </w:r>
      </w:hyperlink>
      <w:r w:rsidR="00F96952" w:rsidRPr="00ED5E77">
        <w:rPr>
          <w:rFonts w:ascii="Comic Sans MS" w:eastAsia="Times New Roman" w:hAnsi="Comic Sans MS" w:cs="Arial"/>
          <w:color w:val="FF0000"/>
          <w:sz w:val="24"/>
          <w:szCs w:val="24"/>
        </w:rPr>
        <w:t> г</w:t>
      </w:r>
      <w:r w:rsidR="007B2148" w:rsidRPr="00ED5E77">
        <w:rPr>
          <w:rFonts w:ascii="Comic Sans MS" w:eastAsia="Times New Roman" w:hAnsi="Comic Sans MS" w:cs="Arial"/>
          <w:color w:val="FF0000"/>
          <w:sz w:val="24"/>
          <w:szCs w:val="24"/>
        </w:rPr>
        <w:t>арантирующие поставщики и сетевые организации</w:t>
      </w:r>
      <w:r w:rsidR="007B2148" w:rsidRPr="00BE2DBE">
        <w:rPr>
          <w:rFonts w:ascii="Comic Sans MS" w:eastAsia="Times New Roman" w:hAnsi="Comic Sans MS" w:cs="Arial"/>
          <w:sz w:val="24"/>
          <w:szCs w:val="24"/>
        </w:rPr>
        <w:t xml:space="preserve">, в том числе посредством интеллектуальных систем учета электрической энергии (мощности). Причем это правило касается как простых граждан-потребителей коммунальных услуг по электроснабжению, так и остальных потребителей электроэнергии (мощности) на </w:t>
      </w:r>
      <w:r w:rsidR="007B2148" w:rsidRPr="00251043">
        <w:rPr>
          <w:rFonts w:ascii="Comic Sans MS" w:eastAsia="Times New Roman" w:hAnsi="Comic Sans MS" w:cs="Arial"/>
          <w:sz w:val="24"/>
          <w:szCs w:val="24"/>
        </w:rPr>
        <w:t>розничных рынках.</w:t>
      </w:r>
      <w:r w:rsidR="009A4553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F4613C" w:rsidRPr="00F4613C">
        <w:rPr>
          <w:rFonts w:ascii="Comic Sans MS" w:hAnsi="Comic Sans MS"/>
          <w:sz w:val="24"/>
          <w:szCs w:val="24"/>
        </w:rPr>
        <w:t>Предусмотрена постепенная миграция приборов учета с баланса потребителей на баланс сетевых организаций и гарантирующих поставщиков.</w:t>
      </w:r>
      <w:r w:rsidR="00F4613C" w:rsidRPr="00F4613C">
        <w:rPr>
          <w:rFonts w:ascii="Comic Sans MS" w:hAnsi="Comic Sans MS"/>
          <w:sz w:val="24"/>
          <w:szCs w:val="24"/>
        </w:rPr>
        <w:br/>
      </w:r>
      <w:r w:rsidR="00BE2DBE" w:rsidRPr="00251043">
        <w:rPr>
          <w:rFonts w:ascii="Comic Sans MS" w:eastAsia="Times New Roman" w:hAnsi="Comic Sans MS" w:cs="Arial"/>
          <w:sz w:val="24"/>
          <w:szCs w:val="24"/>
        </w:rPr>
        <w:t>Для обеспечения коммерческого учёта электроэнергии сетевые организации и поставщики с 1 июля 2020 года</w:t>
      </w:r>
      <w:r w:rsidR="007B2148" w:rsidRPr="00251043">
        <w:rPr>
          <w:rFonts w:ascii="Comic Sans MS" w:eastAsia="Times New Roman" w:hAnsi="Comic Sans MS" w:cs="Arial"/>
          <w:sz w:val="24"/>
          <w:szCs w:val="24"/>
        </w:rPr>
        <w:t>:</w:t>
      </w:r>
    </w:p>
    <w:p w:rsidR="007B2148" w:rsidRPr="00F36808" w:rsidRDefault="00F36808" w:rsidP="00F36808">
      <w:pPr>
        <w:shd w:val="clear" w:color="auto" w:fill="FFFFFF"/>
        <w:suppressAutoHyphens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r w:rsidRPr="00F36808">
        <w:t xml:space="preserve">- </w:t>
      </w:r>
      <w:hyperlink r:id="rId9" w:anchor="block_3753" w:history="1">
        <w:r w:rsidR="007B2148" w:rsidRPr="005407C9">
          <w:rPr>
            <w:rFonts w:ascii="Comic Sans MS" w:eastAsia="Times New Roman" w:hAnsi="Comic Sans MS" w:cs="Arial"/>
            <w:sz w:val="24"/>
            <w:szCs w:val="24"/>
          </w:rPr>
          <w:t>обязаны</w:t>
        </w:r>
      </w:hyperlink>
      <w:r w:rsidR="007B2148" w:rsidRPr="005407C9">
        <w:rPr>
          <w:rFonts w:ascii="Comic Sans MS" w:eastAsia="Times New Roman" w:hAnsi="Comic Sans MS" w:cs="Arial"/>
          <w:sz w:val="24"/>
          <w:szCs w:val="24"/>
        </w:rPr>
        <w:t> </w:t>
      </w:r>
      <w:r w:rsidR="005407C9" w:rsidRPr="005407C9">
        <w:rPr>
          <w:rFonts w:ascii="Comic Sans MS" w:eastAsia="Times New Roman" w:hAnsi="Comic Sans MS" w:cs="Arial"/>
          <w:sz w:val="24"/>
          <w:szCs w:val="24"/>
        </w:rPr>
        <w:t xml:space="preserve">осуществлять </w:t>
      </w:r>
      <w:r w:rsidR="005407C9" w:rsidRPr="005407C9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приобретение, установку, замену, допуск в эксплуатацию приборов учета</w:t>
      </w:r>
      <w:r w:rsidR="007B2148" w:rsidRPr="005407C9">
        <w:rPr>
          <w:rFonts w:ascii="Comic Sans MS" w:eastAsia="Times New Roman" w:hAnsi="Comic Sans MS" w:cs="Arial"/>
          <w:sz w:val="24"/>
          <w:szCs w:val="24"/>
        </w:rPr>
        <w:t xml:space="preserve"> электроэнергии, ино</w:t>
      </w:r>
      <w:r w:rsidR="005407C9" w:rsidRPr="005407C9">
        <w:rPr>
          <w:rFonts w:ascii="Comic Sans MS" w:eastAsia="Times New Roman" w:hAnsi="Comic Sans MS" w:cs="Arial"/>
          <w:sz w:val="24"/>
          <w:szCs w:val="24"/>
        </w:rPr>
        <w:t>го</w:t>
      </w:r>
      <w:r w:rsidR="007B2148" w:rsidRPr="005407C9">
        <w:rPr>
          <w:rFonts w:ascii="Comic Sans MS" w:eastAsia="Times New Roman" w:hAnsi="Comic Sans MS" w:cs="Arial"/>
          <w:sz w:val="24"/>
          <w:szCs w:val="24"/>
        </w:rPr>
        <w:t xml:space="preserve"> оборудовани</w:t>
      </w:r>
      <w:r w:rsidR="005407C9" w:rsidRPr="005407C9">
        <w:rPr>
          <w:rFonts w:ascii="Comic Sans MS" w:eastAsia="Times New Roman" w:hAnsi="Comic Sans MS" w:cs="Arial"/>
          <w:sz w:val="24"/>
          <w:szCs w:val="24"/>
        </w:rPr>
        <w:t>я</w:t>
      </w:r>
      <w:r w:rsidR="007B2148" w:rsidRPr="005407C9">
        <w:rPr>
          <w:rFonts w:ascii="Comic Sans MS" w:eastAsia="Times New Roman" w:hAnsi="Comic Sans MS" w:cs="Arial"/>
          <w:sz w:val="24"/>
          <w:szCs w:val="24"/>
        </w:rPr>
        <w:t>, а также ПО, необходимо</w:t>
      </w:r>
      <w:r w:rsidR="005407C9" w:rsidRPr="005407C9">
        <w:rPr>
          <w:rFonts w:ascii="Comic Sans MS" w:eastAsia="Times New Roman" w:hAnsi="Comic Sans MS" w:cs="Arial"/>
          <w:sz w:val="24"/>
          <w:szCs w:val="24"/>
        </w:rPr>
        <w:t>го</w:t>
      </w:r>
      <w:r w:rsidR="007B2148" w:rsidRPr="005407C9">
        <w:rPr>
          <w:rFonts w:ascii="Comic Sans MS" w:eastAsia="Times New Roman" w:hAnsi="Comic Sans MS" w:cs="Arial"/>
          <w:sz w:val="24"/>
          <w:szCs w:val="24"/>
        </w:rPr>
        <w:t xml:space="preserve"> для обеспечения учета электроэнергии, в отношении</w:t>
      </w:r>
      <w:r w:rsidR="007B2148" w:rsidRPr="00F36808">
        <w:rPr>
          <w:rFonts w:ascii="Comic Sans MS" w:eastAsia="Times New Roman" w:hAnsi="Comic Sans MS" w:cs="Arial"/>
          <w:sz w:val="24"/>
          <w:szCs w:val="24"/>
        </w:rPr>
        <w:t xml:space="preserve"> МКД и помещений в МКД, электроснабжение которых осуществляется с использованием общего имущества, если прибора учета нет, или он вышел из строя, или истек срок </w:t>
      </w:r>
      <w:r w:rsidR="006E67EF" w:rsidRPr="00F36808">
        <w:rPr>
          <w:rFonts w:ascii="Comic Sans MS" w:eastAsia="Times New Roman" w:hAnsi="Comic Sans MS" w:cs="Arial"/>
          <w:sz w:val="24"/>
          <w:szCs w:val="24"/>
        </w:rPr>
        <w:t xml:space="preserve">его </w:t>
      </w:r>
      <w:r w:rsidR="007B2148" w:rsidRPr="00F36808">
        <w:rPr>
          <w:rFonts w:ascii="Comic Sans MS" w:eastAsia="Times New Roman" w:hAnsi="Comic Sans MS" w:cs="Arial"/>
          <w:sz w:val="24"/>
          <w:szCs w:val="24"/>
        </w:rPr>
        <w:t xml:space="preserve">эксплуатации, или </w:t>
      </w:r>
      <w:proofErr w:type="spellStart"/>
      <w:r w:rsidR="007B2148" w:rsidRPr="00F36808">
        <w:rPr>
          <w:rFonts w:ascii="Comic Sans MS" w:eastAsia="Times New Roman" w:hAnsi="Comic Sans MS" w:cs="Arial"/>
          <w:sz w:val="24"/>
          <w:szCs w:val="24"/>
        </w:rPr>
        <w:t>межповерочный</w:t>
      </w:r>
      <w:proofErr w:type="spellEnd"/>
      <w:r w:rsidR="007B2148" w:rsidRPr="00F36808">
        <w:rPr>
          <w:rFonts w:ascii="Comic Sans MS" w:eastAsia="Times New Roman" w:hAnsi="Comic Sans MS" w:cs="Arial"/>
          <w:sz w:val="24"/>
          <w:szCs w:val="24"/>
        </w:rPr>
        <w:t xml:space="preserve"> интервал;</w:t>
      </w:r>
    </w:p>
    <w:p w:rsidR="007B2148" w:rsidRPr="00F36808" w:rsidRDefault="00F36808" w:rsidP="00F36808">
      <w:pPr>
        <w:shd w:val="clear" w:color="auto" w:fill="FFFFFF"/>
        <w:suppressAutoHyphens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r w:rsidRPr="00F36808">
        <w:t xml:space="preserve"> - </w:t>
      </w:r>
      <w:hyperlink r:id="rId10" w:anchor="block_3753" w:history="1">
        <w:r w:rsidR="005407C9" w:rsidRPr="005407C9">
          <w:rPr>
            <w:rFonts w:ascii="Comic Sans MS" w:eastAsia="Times New Roman" w:hAnsi="Comic Sans MS" w:cs="Arial"/>
            <w:sz w:val="24"/>
            <w:szCs w:val="24"/>
          </w:rPr>
          <w:t>обязаны</w:t>
        </w:r>
      </w:hyperlink>
      <w:r w:rsidR="005407C9" w:rsidRPr="005407C9">
        <w:rPr>
          <w:rFonts w:ascii="Comic Sans MS" w:eastAsia="Times New Roman" w:hAnsi="Comic Sans MS" w:cs="Arial"/>
          <w:sz w:val="24"/>
          <w:szCs w:val="24"/>
        </w:rPr>
        <w:t xml:space="preserve"> осуществлять </w:t>
      </w:r>
      <w:r w:rsidR="005407C9" w:rsidRPr="005407C9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приобретение, установку, замену, допуск в эксплуатацию приборов учета</w:t>
      </w:r>
      <w:r w:rsidR="005407C9" w:rsidRPr="005407C9">
        <w:rPr>
          <w:rFonts w:ascii="Comic Sans MS" w:eastAsia="Times New Roman" w:hAnsi="Comic Sans MS" w:cs="Arial"/>
          <w:sz w:val="24"/>
          <w:szCs w:val="24"/>
        </w:rPr>
        <w:t xml:space="preserve"> электроэнергии, иного оборудования, а также ПО, необходимого для обеспечения учета электроэнергии</w:t>
      </w:r>
      <w:r w:rsidR="007B2148" w:rsidRPr="00F36808">
        <w:rPr>
          <w:rFonts w:ascii="Comic Sans MS" w:eastAsia="Times New Roman" w:hAnsi="Comic Sans MS" w:cs="Arial"/>
          <w:sz w:val="24"/>
          <w:szCs w:val="24"/>
        </w:rPr>
        <w:t xml:space="preserve">, в отношении присоединенных к их электросетевым объектам </w:t>
      </w:r>
      <w:proofErr w:type="spellStart"/>
      <w:r w:rsidR="007B2148" w:rsidRPr="00F36808">
        <w:rPr>
          <w:rFonts w:ascii="Comic Sans MS" w:eastAsia="Times New Roman" w:hAnsi="Comic Sans MS" w:cs="Arial"/>
          <w:sz w:val="24"/>
          <w:szCs w:val="24"/>
        </w:rPr>
        <w:t>энергопринимающих</w:t>
      </w:r>
      <w:proofErr w:type="spellEnd"/>
      <w:r w:rsidR="007B2148" w:rsidRPr="00F36808">
        <w:rPr>
          <w:rFonts w:ascii="Comic Sans MS" w:eastAsia="Times New Roman" w:hAnsi="Comic Sans MS" w:cs="Arial"/>
          <w:sz w:val="24"/>
          <w:szCs w:val="24"/>
        </w:rPr>
        <w:t xml:space="preserve"> устройств потребителей, приобретающих электрическую энергию на розничных рынках, если прибора учета нет, или он вышел из строя, или истек срок </w:t>
      </w:r>
      <w:r w:rsidR="00251043" w:rsidRPr="00F36808">
        <w:rPr>
          <w:rFonts w:ascii="Comic Sans MS" w:eastAsia="Times New Roman" w:hAnsi="Comic Sans MS" w:cs="Arial"/>
          <w:sz w:val="24"/>
          <w:szCs w:val="24"/>
        </w:rPr>
        <w:t xml:space="preserve">его </w:t>
      </w:r>
      <w:r w:rsidR="007B2148" w:rsidRPr="00F36808">
        <w:rPr>
          <w:rFonts w:ascii="Comic Sans MS" w:eastAsia="Times New Roman" w:hAnsi="Comic Sans MS" w:cs="Arial"/>
          <w:sz w:val="24"/>
          <w:szCs w:val="24"/>
        </w:rPr>
        <w:t xml:space="preserve">эксплуатации, или </w:t>
      </w:r>
      <w:proofErr w:type="spellStart"/>
      <w:r w:rsidR="007B2148" w:rsidRPr="00F36808">
        <w:rPr>
          <w:rFonts w:ascii="Comic Sans MS" w:eastAsia="Times New Roman" w:hAnsi="Comic Sans MS" w:cs="Arial"/>
          <w:sz w:val="24"/>
          <w:szCs w:val="24"/>
        </w:rPr>
        <w:t>межповерочный</w:t>
      </w:r>
      <w:proofErr w:type="spellEnd"/>
      <w:r w:rsidR="007B2148" w:rsidRPr="00F36808">
        <w:rPr>
          <w:rFonts w:ascii="Comic Sans MS" w:eastAsia="Times New Roman" w:hAnsi="Comic Sans MS" w:cs="Arial"/>
          <w:sz w:val="24"/>
          <w:szCs w:val="24"/>
        </w:rPr>
        <w:t xml:space="preserve"> интервал.</w:t>
      </w:r>
    </w:p>
    <w:p w:rsidR="00706459" w:rsidRPr="00143263" w:rsidRDefault="00115353" w:rsidP="00706459">
      <w:pPr>
        <w:shd w:val="clear" w:color="auto" w:fill="FFFFFF"/>
        <w:suppressAutoHyphens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r w:rsidRPr="00143263">
        <w:rPr>
          <w:rFonts w:ascii="Comic Sans MS" w:eastAsia="Times New Roman" w:hAnsi="Comic Sans MS" w:cs="Arial"/>
          <w:sz w:val="24"/>
          <w:szCs w:val="24"/>
        </w:rPr>
        <w:t xml:space="preserve">Кто же будет возмещать затраты </w:t>
      </w:r>
      <w:r w:rsidR="001D5CB2" w:rsidRPr="00143263">
        <w:rPr>
          <w:rFonts w:ascii="Comic Sans MS" w:eastAsia="Times New Roman" w:hAnsi="Comic Sans MS" w:cs="Arial"/>
          <w:sz w:val="24"/>
          <w:szCs w:val="24"/>
        </w:rPr>
        <w:t>гарантирующего поставщика, понесенные им для исполнения вышеупомянутых обязательств</w:t>
      </w:r>
      <w:r w:rsidR="00706459" w:rsidRPr="00143263">
        <w:rPr>
          <w:rFonts w:ascii="Comic Sans MS" w:eastAsia="Times New Roman" w:hAnsi="Comic Sans MS" w:cs="Arial"/>
          <w:sz w:val="24"/>
          <w:szCs w:val="24"/>
        </w:rPr>
        <w:t>?</w:t>
      </w:r>
    </w:p>
    <w:p w:rsidR="007B2148" w:rsidRPr="00143263" w:rsidRDefault="004851B0" w:rsidP="00706459">
      <w:pPr>
        <w:shd w:val="clear" w:color="auto" w:fill="FFFFFF"/>
        <w:suppressAutoHyphens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r w:rsidRPr="00143263">
        <w:rPr>
          <w:rFonts w:ascii="Comic Sans MS" w:eastAsia="Times New Roman" w:hAnsi="Comic Sans MS" w:cs="Arial"/>
          <w:sz w:val="24"/>
          <w:szCs w:val="24"/>
        </w:rPr>
        <w:lastRenderedPageBreak/>
        <w:t xml:space="preserve">Такие расходы, согласно п. 6.3. ст. 23.1. Закона «Об электроэнергетике», включаются в состав сбытовой надбавки, </w:t>
      </w:r>
      <w:r w:rsidR="002F0AB7" w:rsidRPr="00143263">
        <w:rPr>
          <w:rFonts w:ascii="Comic Sans MS" w:eastAsia="Times New Roman" w:hAnsi="Comic Sans MS" w:cs="Arial"/>
          <w:sz w:val="24"/>
          <w:szCs w:val="24"/>
        </w:rPr>
        <w:t>поэтому, соответственно, нести их будут потребители.</w:t>
      </w:r>
    </w:p>
    <w:p w:rsidR="00A20B7F" w:rsidRDefault="00163A54" w:rsidP="004C2508">
      <w:pPr>
        <w:shd w:val="clear" w:color="auto" w:fill="FFFFFF"/>
        <w:suppressAutoHyphens/>
        <w:spacing w:after="0" w:line="240" w:lineRule="auto"/>
        <w:jc w:val="both"/>
        <w:outlineLvl w:val="0"/>
        <w:rPr>
          <w:rFonts w:ascii="Comic Sans MS" w:eastAsia="Times New Roman" w:hAnsi="Comic Sans MS" w:cs="Arial"/>
          <w:bCs/>
          <w:kern w:val="36"/>
          <w:sz w:val="24"/>
          <w:szCs w:val="24"/>
        </w:rPr>
      </w:pPr>
      <w:r w:rsidRPr="0044364B">
        <w:rPr>
          <w:rFonts w:ascii="Comic Sans MS" w:eastAsia="Times New Roman" w:hAnsi="Comic Sans MS" w:cs="Arial"/>
          <w:bCs/>
          <w:kern w:val="36"/>
          <w:sz w:val="24"/>
          <w:szCs w:val="24"/>
        </w:rPr>
        <w:t xml:space="preserve">Вместе с тем, хотелось бы заметить, что </w:t>
      </w:r>
      <w:r w:rsidR="0044364B">
        <w:rPr>
          <w:rFonts w:ascii="Comic Sans MS" w:eastAsia="Times New Roman" w:hAnsi="Comic Sans MS" w:cs="Arial"/>
          <w:bCs/>
          <w:kern w:val="36"/>
          <w:sz w:val="24"/>
          <w:szCs w:val="24"/>
        </w:rPr>
        <w:t xml:space="preserve">сейчас </w:t>
      </w:r>
      <w:r w:rsidR="00B72E69">
        <w:rPr>
          <w:rFonts w:ascii="Comic Sans MS" w:eastAsia="Times New Roman" w:hAnsi="Comic Sans MS" w:cs="Arial"/>
          <w:bCs/>
          <w:kern w:val="36"/>
          <w:sz w:val="24"/>
          <w:szCs w:val="24"/>
        </w:rPr>
        <w:t xml:space="preserve">гарантирующий поставщик или сетевые организации предъявлять требование или самостоятельно </w:t>
      </w:r>
      <w:r w:rsidR="0044364B">
        <w:rPr>
          <w:rFonts w:ascii="Comic Sans MS" w:eastAsia="Times New Roman" w:hAnsi="Comic Sans MS" w:cs="Arial"/>
          <w:bCs/>
          <w:kern w:val="36"/>
          <w:sz w:val="24"/>
          <w:szCs w:val="24"/>
        </w:rPr>
        <w:t xml:space="preserve">производить замену </w:t>
      </w:r>
      <w:r w:rsidR="00B72E69">
        <w:rPr>
          <w:rFonts w:ascii="Comic Sans MS" w:eastAsia="Times New Roman" w:hAnsi="Comic Sans MS" w:cs="Arial"/>
          <w:bCs/>
          <w:kern w:val="36"/>
          <w:sz w:val="24"/>
          <w:szCs w:val="24"/>
        </w:rPr>
        <w:t>«старых» счётчиков на «новые» интеллектуальные системы учёта электрической энергии (умные счётчики)</w:t>
      </w:r>
      <w:r w:rsidR="00290409">
        <w:rPr>
          <w:rFonts w:ascii="Comic Sans MS" w:eastAsia="Times New Roman" w:hAnsi="Comic Sans MS" w:cs="Arial"/>
          <w:bCs/>
          <w:kern w:val="36"/>
          <w:sz w:val="24"/>
          <w:szCs w:val="24"/>
        </w:rPr>
        <w:t xml:space="preserve"> не имеют права. Обязанность сетевых организаций и гарантирующих поставщиков по обеспечению доступа к минимальному набору функций интелле</w:t>
      </w:r>
      <w:r w:rsidR="00C96103">
        <w:rPr>
          <w:rFonts w:ascii="Comic Sans MS" w:eastAsia="Times New Roman" w:hAnsi="Comic Sans MS" w:cs="Arial"/>
          <w:bCs/>
          <w:kern w:val="36"/>
          <w:sz w:val="24"/>
          <w:szCs w:val="24"/>
        </w:rPr>
        <w:t>ктуальных систем учёта электрической энергии предусмотрена</w:t>
      </w:r>
      <w:r w:rsidR="00D124E3">
        <w:rPr>
          <w:rFonts w:ascii="Comic Sans MS" w:eastAsia="Times New Roman" w:hAnsi="Comic Sans MS" w:cs="Arial"/>
          <w:bCs/>
          <w:kern w:val="36"/>
          <w:sz w:val="24"/>
          <w:szCs w:val="24"/>
        </w:rPr>
        <w:t xml:space="preserve"> с 1 января 2022 года. При этом</w:t>
      </w:r>
      <w:r w:rsidR="0091602F">
        <w:rPr>
          <w:rFonts w:ascii="Comic Sans MS" w:eastAsia="Times New Roman" w:hAnsi="Comic Sans MS" w:cs="Arial"/>
          <w:bCs/>
          <w:kern w:val="36"/>
          <w:sz w:val="24"/>
          <w:szCs w:val="24"/>
        </w:rPr>
        <w:t>,</w:t>
      </w:r>
      <w:r w:rsidR="00C96103">
        <w:rPr>
          <w:rFonts w:ascii="Comic Sans MS" w:eastAsia="Times New Roman" w:hAnsi="Comic Sans MS" w:cs="Arial"/>
          <w:bCs/>
          <w:kern w:val="36"/>
          <w:sz w:val="24"/>
          <w:szCs w:val="24"/>
        </w:rPr>
        <w:t xml:space="preserve"> если «старый» счётчик</w:t>
      </w:r>
      <w:r w:rsidR="00BF3190">
        <w:rPr>
          <w:rFonts w:ascii="Comic Sans MS" w:eastAsia="Times New Roman" w:hAnsi="Comic Sans MS" w:cs="Arial"/>
          <w:bCs/>
          <w:kern w:val="36"/>
          <w:sz w:val="24"/>
          <w:szCs w:val="24"/>
        </w:rPr>
        <w:t xml:space="preserve"> на 1 января 2022 года</w:t>
      </w:r>
      <w:r w:rsidR="00C96103">
        <w:rPr>
          <w:rFonts w:ascii="Comic Sans MS" w:eastAsia="Times New Roman" w:hAnsi="Comic Sans MS" w:cs="Arial"/>
          <w:bCs/>
          <w:kern w:val="36"/>
          <w:sz w:val="24"/>
          <w:szCs w:val="24"/>
        </w:rPr>
        <w:t xml:space="preserve"> находится в исправном состоянии</w:t>
      </w:r>
      <w:r w:rsidR="004C2508">
        <w:rPr>
          <w:rFonts w:ascii="Comic Sans MS" w:eastAsia="Times New Roman" w:hAnsi="Comic Sans MS" w:cs="Arial"/>
          <w:bCs/>
          <w:kern w:val="36"/>
          <w:sz w:val="24"/>
          <w:szCs w:val="24"/>
        </w:rPr>
        <w:t>,</w:t>
      </w:r>
      <w:r w:rsidR="00C96103">
        <w:rPr>
          <w:rFonts w:ascii="Comic Sans MS" w:eastAsia="Times New Roman" w:hAnsi="Comic Sans MS" w:cs="Arial"/>
          <w:bCs/>
          <w:kern w:val="36"/>
          <w:sz w:val="24"/>
          <w:szCs w:val="24"/>
        </w:rPr>
        <w:t xml:space="preserve"> и не истёк срок его </w:t>
      </w:r>
      <w:r w:rsidR="00BF3190">
        <w:rPr>
          <w:rFonts w:ascii="Comic Sans MS" w:eastAsia="Times New Roman" w:hAnsi="Comic Sans MS" w:cs="Arial"/>
          <w:bCs/>
          <w:kern w:val="36"/>
          <w:sz w:val="24"/>
          <w:szCs w:val="24"/>
        </w:rPr>
        <w:t>эксплуатации</w:t>
      </w:r>
      <w:r w:rsidR="00C96103">
        <w:rPr>
          <w:rFonts w:ascii="Comic Sans MS" w:eastAsia="Times New Roman" w:hAnsi="Comic Sans MS" w:cs="Arial"/>
          <w:bCs/>
          <w:kern w:val="36"/>
          <w:sz w:val="24"/>
          <w:szCs w:val="24"/>
        </w:rPr>
        <w:t>, то заменять его на «новый»</w:t>
      </w:r>
      <w:r w:rsidR="00BF3190">
        <w:rPr>
          <w:rFonts w:ascii="Comic Sans MS" w:eastAsia="Times New Roman" w:hAnsi="Comic Sans MS" w:cs="Arial"/>
          <w:bCs/>
          <w:kern w:val="36"/>
          <w:sz w:val="24"/>
          <w:szCs w:val="24"/>
        </w:rPr>
        <w:t>, умный счётчик, нужно будет только по истечени</w:t>
      </w:r>
      <w:r w:rsidR="00D124E3">
        <w:rPr>
          <w:rFonts w:ascii="Comic Sans MS" w:eastAsia="Times New Roman" w:hAnsi="Comic Sans MS" w:cs="Arial"/>
          <w:bCs/>
          <w:kern w:val="36"/>
          <w:sz w:val="24"/>
          <w:szCs w:val="24"/>
        </w:rPr>
        <w:t>и</w:t>
      </w:r>
      <w:r w:rsidR="00BF3190">
        <w:rPr>
          <w:rFonts w:ascii="Comic Sans MS" w:eastAsia="Times New Roman" w:hAnsi="Comic Sans MS" w:cs="Arial"/>
          <w:bCs/>
          <w:kern w:val="36"/>
          <w:sz w:val="24"/>
          <w:szCs w:val="24"/>
        </w:rPr>
        <w:t xml:space="preserve"> срока его эксплуатации.</w:t>
      </w:r>
    </w:p>
    <w:p w:rsidR="00670691" w:rsidRPr="0044364B" w:rsidRDefault="00670691" w:rsidP="004C2508">
      <w:pPr>
        <w:shd w:val="clear" w:color="auto" w:fill="FFFFFF"/>
        <w:suppressAutoHyphens/>
        <w:spacing w:after="0" w:line="240" w:lineRule="auto"/>
        <w:jc w:val="both"/>
        <w:outlineLvl w:val="0"/>
        <w:rPr>
          <w:rFonts w:ascii="Comic Sans MS" w:eastAsia="Times New Roman" w:hAnsi="Comic Sans MS" w:cs="Arial"/>
          <w:bCs/>
          <w:kern w:val="36"/>
          <w:sz w:val="24"/>
          <w:szCs w:val="24"/>
        </w:rPr>
      </w:pPr>
      <w:r>
        <w:rPr>
          <w:rFonts w:ascii="Comic Sans MS" w:eastAsia="Times New Roman" w:hAnsi="Comic Sans MS" w:cs="Arial"/>
          <w:bCs/>
          <w:kern w:val="36"/>
          <w:sz w:val="24"/>
          <w:szCs w:val="24"/>
        </w:rPr>
        <w:t>Исключени</w:t>
      </w:r>
      <w:r w:rsidR="00A16BDF">
        <w:rPr>
          <w:rFonts w:ascii="Comic Sans MS" w:eastAsia="Times New Roman" w:hAnsi="Comic Sans MS" w:cs="Arial"/>
          <w:bCs/>
          <w:kern w:val="36"/>
          <w:sz w:val="24"/>
          <w:szCs w:val="24"/>
        </w:rPr>
        <w:t>е</w:t>
      </w:r>
      <w:r>
        <w:rPr>
          <w:rFonts w:ascii="Comic Sans MS" w:eastAsia="Times New Roman" w:hAnsi="Comic Sans MS" w:cs="Arial"/>
          <w:bCs/>
          <w:kern w:val="36"/>
          <w:sz w:val="24"/>
          <w:szCs w:val="24"/>
        </w:rPr>
        <w:t xml:space="preserve"> составляют многоквартирные дома – новостройки,</w:t>
      </w:r>
      <w:r w:rsidR="00A16BDF">
        <w:rPr>
          <w:rFonts w:ascii="Comic Sans MS" w:eastAsia="Times New Roman" w:hAnsi="Comic Sans MS" w:cs="Arial"/>
          <w:bCs/>
          <w:kern w:val="36"/>
          <w:sz w:val="24"/>
          <w:szCs w:val="24"/>
        </w:rPr>
        <w:t xml:space="preserve"> которые вводятся в эксплуатацию с 1 января 2021 года, вот они должны быть оснащены такими «умными» счётчиками</w:t>
      </w:r>
      <w:r w:rsidR="0091602F">
        <w:rPr>
          <w:rFonts w:ascii="Comic Sans MS" w:eastAsia="Times New Roman" w:hAnsi="Comic Sans MS" w:cs="Arial"/>
          <w:bCs/>
          <w:kern w:val="36"/>
          <w:sz w:val="24"/>
          <w:szCs w:val="24"/>
        </w:rPr>
        <w:t xml:space="preserve"> изначально</w:t>
      </w:r>
      <w:r w:rsidR="00A16BDF">
        <w:rPr>
          <w:rFonts w:ascii="Comic Sans MS" w:eastAsia="Times New Roman" w:hAnsi="Comic Sans MS" w:cs="Arial"/>
          <w:bCs/>
          <w:kern w:val="36"/>
          <w:sz w:val="24"/>
          <w:szCs w:val="24"/>
        </w:rPr>
        <w:t>.</w:t>
      </w:r>
    </w:p>
    <w:p w:rsidR="00A20B7F" w:rsidRDefault="00A20B7F" w:rsidP="00F96952">
      <w:pPr>
        <w:shd w:val="clear" w:color="auto" w:fill="FFFFFF"/>
        <w:suppressAutoHyphens/>
        <w:spacing w:after="240" w:line="240" w:lineRule="auto"/>
        <w:jc w:val="both"/>
        <w:rPr>
          <w:rFonts w:ascii="Comic Sans MS" w:eastAsia="Times New Roman" w:hAnsi="Comic Sans MS" w:cs="Arial"/>
          <w:color w:val="333333"/>
          <w:sz w:val="24"/>
          <w:szCs w:val="24"/>
        </w:rPr>
      </w:pPr>
    </w:p>
    <w:p w:rsidR="006A7B16" w:rsidRDefault="006A7B16" w:rsidP="0091602F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18"/>
          <w:szCs w:val="20"/>
        </w:rPr>
      </w:pPr>
      <w:r>
        <w:rPr>
          <w:rFonts w:ascii="Times New Roman" w:eastAsia="Times New Roman" w:hAnsi="Times New Roman" w:cs="Times New Roman"/>
          <w:i/>
          <w:color w:val="333333"/>
          <w:sz w:val="18"/>
          <w:szCs w:val="20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18"/>
          <w:szCs w:val="20"/>
        </w:rPr>
        <w:t xml:space="preserve">Юрисконсульт </w:t>
      </w:r>
      <w:r w:rsidR="0091602F" w:rsidRPr="00ED5E77">
        <w:rPr>
          <w:rFonts w:ascii="Times New Roman" w:eastAsia="Times New Roman" w:hAnsi="Times New Roman" w:cs="Times New Roman"/>
          <w:i/>
          <w:color w:val="333333"/>
          <w:sz w:val="18"/>
          <w:szCs w:val="20"/>
        </w:rPr>
        <w:t xml:space="preserve"> филиала</w:t>
      </w:r>
      <w:proofErr w:type="gramEnd"/>
      <w:r w:rsidR="0091602F" w:rsidRPr="00ED5E77">
        <w:rPr>
          <w:rFonts w:ascii="Times New Roman" w:eastAsia="Times New Roman" w:hAnsi="Times New Roman" w:cs="Times New Roman"/>
          <w:i/>
          <w:color w:val="333333"/>
          <w:sz w:val="18"/>
          <w:szCs w:val="20"/>
        </w:rPr>
        <w:t xml:space="preserve"> ФБУЗ «Центр гигиены и эпидемиологии в </w:t>
      </w:r>
    </w:p>
    <w:p w:rsidR="004C2508" w:rsidRPr="00ED5E77" w:rsidRDefault="0091602F" w:rsidP="0091602F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18"/>
          <w:szCs w:val="20"/>
        </w:rPr>
      </w:pPr>
      <w:r w:rsidRPr="00ED5E77">
        <w:rPr>
          <w:rFonts w:ascii="Times New Roman" w:eastAsia="Times New Roman" w:hAnsi="Times New Roman" w:cs="Times New Roman"/>
          <w:i/>
          <w:color w:val="333333"/>
          <w:sz w:val="18"/>
          <w:szCs w:val="20"/>
        </w:rPr>
        <w:t xml:space="preserve">Иркутской области» в Тайшетском и </w:t>
      </w:r>
      <w:r w:rsidR="007C5B03" w:rsidRPr="00ED5E77">
        <w:rPr>
          <w:rFonts w:ascii="Times New Roman" w:eastAsia="Times New Roman" w:hAnsi="Times New Roman" w:cs="Times New Roman"/>
          <w:i/>
          <w:color w:val="333333"/>
          <w:sz w:val="18"/>
          <w:szCs w:val="20"/>
        </w:rPr>
        <w:t>Чунском районах Кадыров</w:t>
      </w:r>
      <w:r w:rsidR="006A7B16">
        <w:rPr>
          <w:rFonts w:ascii="Times New Roman" w:eastAsia="Times New Roman" w:hAnsi="Times New Roman" w:cs="Times New Roman"/>
          <w:i/>
          <w:color w:val="333333"/>
          <w:sz w:val="18"/>
          <w:szCs w:val="20"/>
        </w:rPr>
        <w:t>а</w:t>
      </w:r>
      <w:r w:rsidR="007C5B03" w:rsidRPr="00ED5E77">
        <w:rPr>
          <w:rFonts w:ascii="Times New Roman" w:eastAsia="Times New Roman" w:hAnsi="Times New Roman" w:cs="Times New Roman"/>
          <w:i/>
          <w:color w:val="333333"/>
          <w:sz w:val="18"/>
          <w:szCs w:val="20"/>
        </w:rPr>
        <w:t xml:space="preserve"> О.А.</w:t>
      </w:r>
    </w:p>
    <w:p w:rsidR="00473CE7" w:rsidRPr="006A7B16" w:rsidRDefault="006A7B16" w:rsidP="0091602F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6A7B16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>8(39563) 5 -21 -56</w:t>
      </w:r>
    </w:p>
    <w:p w:rsidR="006A7B16" w:rsidRPr="006A7B16" w:rsidRDefault="006A7B16" w:rsidP="0091602F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>E-mail: zpp-taishet@mail.ru</w:t>
      </w:r>
    </w:p>
    <w:p w:rsidR="00473CE7" w:rsidRPr="006A7B16" w:rsidRDefault="00473CE7" w:rsidP="0091602F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</w:p>
    <w:p w:rsidR="00473CE7" w:rsidRPr="006A7B16" w:rsidRDefault="00473CE7" w:rsidP="0091602F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</w:p>
    <w:p w:rsidR="00473CE7" w:rsidRPr="006A7B16" w:rsidRDefault="00473CE7" w:rsidP="0091602F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</w:p>
    <w:p w:rsidR="00ED5E77" w:rsidRPr="006A7B16" w:rsidRDefault="00ED5E77" w:rsidP="0091602F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</w:p>
    <w:p w:rsidR="00ED5E77" w:rsidRPr="006A7B16" w:rsidRDefault="00ED5E77" w:rsidP="0091602F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</w:p>
    <w:p w:rsidR="00ED5E77" w:rsidRPr="006A7B16" w:rsidRDefault="00ED5E77" w:rsidP="0091602F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</w:p>
    <w:p w:rsidR="00473CE7" w:rsidRPr="006A7B16" w:rsidRDefault="006A7B16" w:rsidP="00473CE7">
      <w:pPr>
        <w:pStyle w:val="lead"/>
        <w:spacing w:before="0" w:beforeAutospacing="0" w:after="0" w:afterAutospacing="0"/>
        <w:jc w:val="center"/>
        <w:rPr>
          <w:rFonts w:ascii="Comic Sans MS" w:hAnsi="Comic Sans MS"/>
          <w:b/>
          <w:lang w:val="en-US"/>
        </w:rPr>
      </w:pPr>
      <w:r w:rsidRPr="006A7B16">
        <w:rPr>
          <w:rFonts w:ascii="Comic Sans MS" w:hAnsi="Comic Sans MS"/>
          <w:b/>
          <w:lang w:val="en-US"/>
        </w:rPr>
        <w:t xml:space="preserve"> </w:t>
      </w:r>
    </w:p>
    <w:p w:rsidR="00473CE7" w:rsidRPr="006A7B16" w:rsidRDefault="00473CE7" w:rsidP="00473CE7">
      <w:pPr>
        <w:shd w:val="clear" w:color="auto" w:fill="FFFFFF"/>
        <w:spacing w:after="0" w:line="240" w:lineRule="auto"/>
        <w:jc w:val="both"/>
        <w:outlineLvl w:val="0"/>
        <w:rPr>
          <w:rFonts w:ascii="Comic Sans MS" w:eastAsia="Times New Roman" w:hAnsi="Comic Sans MS" w:cs="Arial"/>
          <w:b/>
          <w:bCs/>
          <w:kern w:val="36"/>
          <w:lang w:val="en-US"/>
        </w:rPr>
      </w:pPr>
    </w:p>
    <w:p w:rsidR="00473CE7" w:rsidRPr="006A7B16" w:rsidRDefault="00473CE7" w:rsidP="00473CE7">
      <w:pPr>
        <w:shd w:val="clear" w:color="auto" w:fill="FFFFFF"/>
        <w:spacing w:after="0" w:line="240" w:lineRule="auto"/>
        <w:jc w:val="both"/>
        <w:outlineLvl w:val="0"/>
        <w:rPr>
          <w:rFonts w:ascii="Comic Sans MS" w:eastAsia="Times New Roman" w:hAnsi="Comic Sans MS" w:cs="Arial"/>
          <w:b/>
          <w:bCs/>
          <w:kern w:val="36"/>
          <w:lang w:val="en-US"/>
        </w:rPr>
      </w:pPr>
    </w:p>
    <w:p w:rsidR="00ED5E77" w:rsidRPr="006A7B16" w:rsidRDefault="00ED5E77" w:rsidP="00473CE7">
      <w:pPr>
        <w:shd w:val="clear" w:color="auto" w:fill="FFFFFF"/>
        <w:spacing w:after="0" w:line="240" w:lineRule="auto"/>
        <w:jc w:val="both"/>
        <w:outlineLvl w:val="0"/>
        <w:rPr>
          <w:rFonts w:ascii="Comic Sans MS" w:eastAsia="Times New Roman" w:hAnsi="Comic Sans MS" w:cs="Arial"/>
          <w:b/>
          <w:bCs/>
          <w:kern w:val="36"/>
          <w:lang w:val="en-US"/>
        </w:rPr>
      </w:pPr>
    </w:p>
    <w:p w:rsidR="00ED5E77" w:rsidRPr="006A7B16" w:rsidRDefault="00ED5E77" w:rsidP="00473CE7">
      <w:pPr>
        <w:shd w:val="clear" w:color="auto" w:fill="FFFFFF"/>
        <w:spacing w:after="0" w:line="240" w:lineRule="auto"/>
        <w:jc w:val="both"/>
        <w:outlineLvl w:val="0"/>
        <w:rPr>
          <w:rFonts w:ascii="Comic Sans MS" w:eastAsia="Times New Roman" w:hAnsi="Comic Sans MS" w:cs="Arial"/>
          <w:b/>
          <w:bCs/>
          <w:kern w:val="36"/>
          <w:lang w:val="en-US"/>
        </w:rPr>
      </w:pPr>
    </w:p>
    <w:p w:rsidR="00ED5E77" w:rsidRPr="006A7B16" w:rsidRDefault="00ED5E77" w:rsidP="00473CE7">
      <w:pPr>
        <w:shd w:val="clear" w:color="auto" w:fill="FFFFFF"/>
        <w:spacing w:after="0" w:line="240" w:lineRule="auto"/>
        <w:jc w:val="both"/>
        <w:outlineLvl w:val="0"/>
        <w:rPr>
          <w:rFonts w:ascii="Comic Sans MS" w:eastAsia="Times New Roman" w:hAnsi="Comic Sans MS" w:cs="Arial"/>
          <w:b/>
          <w:bCs/>
          <w:kern w:val="36"/>
          <w:lang w:val="en-US"/>
        </w:rPr>
      </w:pPr>
    </w:p>
    <w:p w:rsidR="00ED5E77" w:rsidRPr="006A7B16" w:rsidRDefault="00ED5E77" w:rsidP="00473CE7">
      <w:pPr>
        <w:shd w:val="clear" w:color="auto" w:fill="FFFFFF"/>
        <w:spacing w:after="0" w:line="240" w:lineRule="auto"/>
        <w:jc w:val="both"/>
        <w:outlineLvl w:val="0"/>
        <w:rPr>
          <w:rFonts w:ascii="Comic Sans MS" w:eastAsia="Times New Roman" w:hAnsi="Comic Sans MS" w:cs="Arial"/>
          <w:b/>
          <w:bCs/>
          <w:kern w:val="36"/>
          <w:lang w:val="en-US"/>
        </w:rPr>
      </w:pPr>
    </w:p>
    <w:p w:rsidR="00473CE7" w:rsidRPr="006A7B16" w:rsidRDefault="00473CE7" w:rsidP="00473CE7">
      <w:pPr>
        <w:shd w:val="clear" w:color="auto" w:fill="FFFFFF"/>
        <w:spacing w:after="0" w:line="240" w:lineRule="auto"/>
        <w:jc w:val="both"/>
        <w:outlineLvl w:val="0"/>
        <w:rPr>
          <w:rFonts w:ascii="Comic Sans MS" w:eastAsia="Times New Roman" w:hAnsi="Comic Sans MS" w:cs="Arial"/>
          <w:b/>
          <w:bCs/>
          <w:kern w:val="36"/>
          <w:lang w:val="en-US"/>
        </w:rPr>
      </w:pPr>
    </w:p>
    <w:p w:rsidR="00473CE7" w:rsidRPr="006A7B16" w:rsidRDefault="00473CE7" w:rsidP="00473CE7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Arial"/>
          <w:b/>
          <w:bCs/>
          <w:kern w:val="36"/>
          <w:sz w:val="28"/>
          <w:szCs w:val="28"/>
          <w:lang w:val="en-US"/>
        </w:rPr>
      </w:pPr>
    </w:p>
    <w:p w:rsidR="00473CE7" w:rsidRPr="006A7B16" w:rsidRDefault="00473CE7" w:rsidP="00473CE7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Arial"/>
          <w:b/>
          <w:bCs/>
          <w:kern w:val="36"/>
          <w:lang w:val="en-US"/>
        </w:rPr>
      </w:pPr>
    </w:p>
    <w:p w:rsidR="00ED5E77" w:rsidRPr="006A7B16" w:rsidRDefault="00ED5E77" w:rsidP="00153999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en-US"/>
        </w:rPr>
      </w:pPr>
    </w:p>
    <w:p w:rsidR="000E01AF" w:rsidRPr="006A7B16" w:rsidRDefault="006A7B16" w:rsidP="00153999">
      <w:pPr>
        <w:spacing w:after="0" w:line="240" w:lineRule="auto"/>
        <w:jc w:val="center"/>
        <w:rPr>
          <w:lang w:val="en-US"/>
        </w:rPr>
      </w:pPr>
      <w:r w:rsidRPr="006A7B16">
        <w:rPr>
          <w:rFonts w:ascii="Comic Sans MS" w:hAnsi="Comic Sans MS"/>
          <w:b/>
          <w:sz w:val="24"/>
          <w:szCs w:val="24"/>
          <w:lang w:val="en-US"/>
        </w:rPr>
        <w:t xml:space="preserve"> </w:t>
      </w:r>
    </w:p>
    <w:sectPr w:rsidR="000E01AF" w:rsidRPr="006A7B16" w:rsidSect="006A7B16">
      <w:pgSz w:w="11906" w:h="16838"/>
      <w:pgMar w:top="851" w:right="851" w:bottom="851" w:left="567" w:header="709" w:footer="709" w:gutter="0"/>
      <w:cols w:space="7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C62C6"/>
    <w:multiLevelType w:val="multilevel"/>
    <w:tmpl w:val="13A8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6611A"/>
    <w:multiLevelType w:val="multilevel"/>
    <w:tmpl w:val="17B2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E5991"/>
    <w:multiLevelType w:val="multilevel"/>
    <w:tmpl w:val="BEE0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48"/>
    <w:rsid w:val="00000032"/>
    <w:rsid w:val="00041519"/>
    <w:rsid w:val="000676F7"/>
    <w:rsid w:val="00074FF8"/>
    <w:rsid w:val="000E01AF"/>
    <w:rsid w:val="000E50E9"/>
    <w:rsid w:val="00115353"/>
    <w:rsid w:val="00143263"/>
    <w:rsid w:val="00153999"/>
    <w:rsid w:val="00163A54"/>
    <w:rsid w:val="001D5CB2"/>
    <w:rsid w:val="00251043"/>
    <w:rsid w:val="00290409"/>
    <w:rsid w:val="002F0AB7"/>
    <w:rsid w:val="003E0480"/>
    <w:rsid w:val="00434E76"/>
    <w:rsid w:val="0044364B"/>
    <w:rsid w:val="00473CE7"/>
    <w:rsid w:val="004851B0"/>
    <w:rsid w:val="004C2508"/>
    <w:rsid w:val="00504FE5"/>
    <w:rsid w:val="005407C9"/>
    <w:rsid w:val="00594110"/>
    <w:rsid w:val="00670691"/>
    <w:rsid w:val="006A335D"/>
    <w:rsid w:val="006A7B16"/>
    <w:rsid w:val="006E14EC"/>
    <w:rsid w:val="006E67EF"/>
    <w:rsid w:val="00706459"/>
    <w:rsid w:val="0072105A"/>
    <w:rsid w:val="0072169B"/>
    <w:rsid w:val="00775D1E"/>
    <w:rsid w:val="007B2148"/>
    <w:rsid w:val="007C5B03"/>
    <w:rsid w:val="008957C7"/>
    <w:rsid w:val="008A4135"/>
    <w:rsid w:val="008B7C88"/>
    <w:rsid w:val="0091602F"/>
    <w:rsid w:val="009A4553"/>
    <w:rsid w:val="00A16BDF"/>
    <w:rsid w:val="00A20B7F"/>
    <w:rsid w:val="00A557C2"/>
    <w:rsid w:val="00A92871"/>
    <w:rsid w:val="00B72E69"/>
    <w:rsid w:val="00BE2DBE"/>
    <w:rsid w:val="00BF3190"/>
    <w:rsid w:val="00C96103"/>
    <w:rsid w:val="00D05B2A"/>
    <w:rsid w:val="00D124E3"/>
    <w:rsid w:val="00DA54E8"/>
    <w:rsid w:val="00E23BD6"/>
    <w:rsid w:val="00E65F6D"/>
    <w:rsid w:val="00EA0ABD"/>
    <w:rsid w:val="00EB7DD8"/>
    <w:rsid w:val="00ED5E77"/>
    <w:rsid w:val="00F36808"/>
    <w:rsid w:val="00F4613C"/>
    <w:rsid w:val="00F9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6B77B-B5E2-4D94-BC1D-0DDB734D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BD"/>
  </w:style>
  <w:style w:type="paragraph" w:styleId="1">
    <w:name w:val="heading 1"/>
    <w:basedOn w:val="a"/>
    <w:link w:val="10"/>
    <w:uiPriority w:val="9"/>
    <w:qFormat/>
    <w:rsid w:val="007B2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vertising">
    <w:name w:val="advertising"/>
    <w:basedOn w:val="a0"/>
    <w:rsid w:val="007B2148"/>
  </w:style>
  <w:style w:type="paragraph" w:styleId="a3">
    <w:name w:val="Normal (Web)"/>
    <w:basedOn w:val="a"/>
    <w:uiPriority w:val="99"/>
    <w:semiHidden/>
    <w:unhideWhenUsed/>
    <w:rsid w:val="007B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B2148"/>
    <w:rPr>
      <w:color w:val="0000FF"/>
      <w:u w:val="single"/>
    </w:rPr>
  </w:style>
  <w:style w:type="paragraph" w:customStyle="1" w:styleId="advertising1">
    <w:name w:val="advertising1"/>
    <w:basedOn w:val="a"/>
    <w:rsid w:val="007B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21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148"/>
    <w:rPr>
      <w:rFonts w:ascii="Tahoma" w:hAnsi="Tahoma" w:cs="Tahoma"/>
      <w:sz w:val="16"/>
      <w:szCs w:val="16"/>
    </w:rPr>
  </w:style>
  <w:style w:type="paragraph" w:customStyle="1" w:styleId="lead">
    <w:name w:val="lead"/>
    <w:basedOn w:val="a"/>
    <w:rsid w:val="0047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0959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7786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2139472/1cafb24d049dcd1e7707a22d98e9858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8565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2139472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base.garant.ru/72139472/1cafb24d049dcd1e7707a22d98e9858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2139472/1cafb24d049dcd1e7707a22d98e9858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Савкина</cp:lastModifiedBy>
  <cp:revision>2</cp:revision>
  <cp:lastPrinted>2020-08-28T06:48:00Z</cp:lastPrinted>
  <dcterms:created xsi:type="dcterms:W3CDTF">2020-09-02T06:54:00Z</dcterms:created>
  <dcterms:modified xsi:type="dcterms:W3CDTF">2020-09-02T06:54:00Z</dcterms:modified>
</cp:coreProperties>
</file>