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8D" w:rsidRDefault="00B2718D"/>
    <w:p w:rsidR="00B2718D" w:rsidRDefault="00B2718D"/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64A34" w:rsidTr="00894BA5">
        <w:trPr>
          <w:trHeight w:val="3119"/>
        </w:trPr>
        <w:tc>
          <w:tcPr>
            <w:tcW w:w="9463" w:type="dxa"/>
          </w:tcPr>
          <w:p w:rsidR="005A6E68" w:rsidRDefault="005A6E68" w:rsidP="00C551A2">
            <w:pPr>
              <w:pStyle w:val="1"/>
              <w:jc w:val="center"/>
              <w:rPr>
                <w:i w:val="0"/>
                <w:iCs/>
                <w:sz w:val="32"/>
                <w:szCs w:val="32"/>
              </w:rPr>
            </w:pPr>
          </w:p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CD2C56" w:rsidRDefault="00606C14">
      <w:pPr>
        <w:pStyle w:val="a3"/>
      </w:pPr>
      <w:r>
        <w:t xml:space="preserve">  </w:t>
      </w:r>
      <w:proofErr w:type="gramStart"/>
      <w:r w:rsidR="005A6E68">
        <w:t>о</w:t>
      </w:r>
      <w:r w:rsidR="00064A34">
        <w:t xml:space="preserve">т </w:t>
      </w:r>
      <w:r w:rsidR="00693A37">
        <w:t xml:space="preserve"> </w:t>
      </w:r>
      <w:r w:rsidR="005A530A">
        <w:t>«</w:t>
      </w:r>
      <w:proofErr w:type="gramEnd"/>
      <w:r w:rsidR="00212B58">
        <w:t>21</w:t>
      </w:r>
      <w:r w:rsidR="005A530A">
        <w:t>»</w:t>
      </w:r>
      <w:r w:rsidR="00B95679">
        <w:t xml:space="preserve"> марта</w:t>
      </w:r>
      <w:r w:rsidR="0044630F">
        <w:t xml:space="preserve"> </w:t>
      </w:r>
      <w:r w:rsidR="00064A34">
        <w:t>201</w:t>
      </w:r>
      <w:r w:rsidR="00DA60DC">
        <w:t>9</w:t>
      </w:r>
      <w:r w:rsidR="00064A34">
        <w:t xml:space="preserve">г.  </w:t>
      </w:r>
      <w:r w:rsidR="00CD2C56">
        <w:t xml:space="preserve">                            </w:t>
      </w:r>
      <w:r>
        <w:t xml:space="preserve">       </w:t>
      </w:r>
      <w:r w:rsidR="00CD2C56">
        <w:t xml:space="preserve">  </w:t>
      </w:r>
      <w:r w:rsidR="005A6E68">
        <w:t xml:space="preserve">                 </w:t>
      </w:r>
      <w:r w:rsidR="00CD2C56">
        <w:t xml:space="preserve">     </w:t>
      </w:r>
      <w:r w:rsidR="0076564D">
        <w:t xml:space="preserve">   </w:t>
      </w:r>
      <w:r w:rsidR="0044630F">
        <w:t xml:space="preserve">           </w:t>
      </w:r>
      <w:r w:rsidR="0076564D">
        <w:t xml:space="preserve">           </w:t>
      </w:r>
      <w:r w:rsidR="00CD2C56">
        <w:t xml:space="preserve"> №</w:t>
      </w:r>
      <w:r w:rsidR="00212B58">
        <w:t>139</w:t>
      </w:r>
    </w:p>
    <w:p w:rsidR="005A6E68" w:rsidRPr="005A6E68" w:rsidRDefault="005A6E68">
      <w:pPr>
        <w:pStyle w:val="a3"/>
      </w:pP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4429"/>
      </w:tblGrid>
      <w:tr w:rsidR="005A530A" w:rsidTr="0044630F">
        <w:trPr>
          <w:trHeight w:val="656"/>
        </w:trPr>
        <w:tc>
          <w:tcPr>
            <w:tcW w:w="4429" w:type="dxa"/>
          </w:tcPr>
          <w:p w:rsidR="005A530A" w:rsidRDefault="00DA60DC" w:rsidP="005A3040">
            <w:pPr>
              <w:jc w:val="both"/>
            </w:pPr>
            <w:r>
              <w:t xml:space="preserve">          </w:t>
            </w:r>
            <w:r w:rsidR="005A530A">
              <w:t xml:space="preserve">О состоянии уличного освещения </w:t>
            </w:r>
            <w:r w:rsidR="0076564D">
              <w:t xml:space="preserve">                      </w:t>
            </w:r>
            <w:proofErr w:type="gramStart"/>
            <w:r w:rsidR="00D07A7C">
              <w:t>на</w:t>
            </w:r>
            <w:r w:rsidR="008242C1">
              <w:t xml:space="preserve">  территории</w:t>
            </w:r>
            <w:proofErr w:type="gramEnd"/>
            <w:r w:rsidR="008242C1">
              <w:t xml:space="preserve"> </w:t>
            </w:r>
            <w:r w:rsidR="0076564D">
              <w:t xml:space="preserve">  </w:t>
            </w:r>
            <w:proofErr w:type="spellStart"/>
            <w:r w:rsidR="005A530A">
              <w:t>Бирюсинского</w:t>
            </w:r>
            <w:proofErr w:type="spellEnd"/>
            <w:r w:rsidR="005A530A">
              <w:t xml:space="preserve"> муниципального </w:t>
            </w:r>
            <w:r w:rsidR="0076564D">
              <w:t xml:space="preserve"> </w:t>
            </w:r>
            <w:r w:rsidR="005A530A">
              <w:t>образования «</w:t>
            </w:r>
            <w:proofErr w:type="spellStart"/>
            <w:r w:rsidR="005A530A">
              <w:t>Бирюсинское</w:t>
            </w:r>
            <w:proofErr w:type="spellEnd"/>
            <w:r w:rsidR="005A530A">
              <w:t xml:space="preserve"> </w:t>
            </w:r>
            <w:r w:rsidR="008242C1">
              <w:t xml:space="preserve"> </w:t>
            </w:r>
            <w:r w:rsidR="0076564D">
              <w:t xml:space="preserve">  </w:t>
            </w:r>
            <w:r w:rsidR="005A530A">
              <w:t>городское поселение»</w:t>
            </w:r>
          </w:p>
          <w:p w:rsidR="005A530A" w:rsidRDefault="005A530A" w:rsidP="005A3040">
            <w:pPr>
              <w:jc w:val="both"/>
            </w:pPr>
          </w:p>
        </w:tc>
      </w:tr>
    </w:tbl>
    <w:p w:rsidR="00064A34" w:rsidRDefault="00064A34">
      <w:pPr>
        <w:jc w:val="both"/>
      </w:pPr>
      <w:r>
        <w:t xml:space="preserve">       </w:t>
      </w:r>
    </w:p>
    <w:p w:rsidR="005A6E68" w:rsidRDefault="00064A34" w:rsidP="005A530A">
      <w:pPr>
        <w:jc w:val="both"/>
      </w:pPr>
      <w:r>
        <w:t xml:space="preserve">          </w:t>
      </w:r>
    </w:p>
    <w:p w:rsidR="005A530A" w:rsidRDefault="005A6E68" w:rsidP="005A530A">
      <w:pPr>
        <w:jc w:val="both"/>
      </w:pPr>
      <w:r>
        <w:t xml:space="preserve">            </w:t>
      </w:r>
      <w:r w:rsidR="005A530A">
        <w:t xml:space="preserve">Заслушав на административном совете при главе </w:t>
      </w:r>
      <w:r w:rsidR="00A22720">
        <w:t xml:space="preserve">администрации </w:t>
      </w:r>
      <w:proofErr w:type="spellStart"/>
      <w:r w:rsidR="00A22720">
        <w:t>Бирюсинского</w:t>
      </w:r>
      <w:proofErr w:type="spellEnd"/>
      <w:r w:rsidR="00A22720">
        <w:t xml:space="preserve">  </w:t>
      </w:r>
      <w:r w:rsidR="005A530A">
        <w:t>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информацию начальника отдела по вопросам ЖКХ,  земельным, имущественным отношениям, градостроительству и</w:t>
      </w:r>
      <w:r w:rsidR="000679FD">
        <w:t xml:space="preserve"> благоустройству</w:t>
      </w:r>
      <w:r w:rsidR="0076564D">
        <w:t xml:space="preserve"> </w:t>
      </w:r>
      <w:r w:rsidR="005A530A">
        <w:t xml:space="preserve">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</w:t>
      </w:r>
      <w:r w:rsidR="000679FD">
        <w:t>ское</w:t>
      </w:r>
      <w:r w:rsidR="0076564D">
        <w:t xml:space="preserve"> </w:t>
      </w:r>
      <w:r w:rsidR="005A530A">
        <w:t xml:space="preserve">поселение»  о состоянии уличного освещения на территории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</w:t>
      </w:r>
      <w:r w:rsidR="005A530A" w:rsidRPr="00C0523D">
        <w:t xml:space="preserve"> </w:t>
      </w:r>
      <w:r w:rsidR="005A530A">
        <w:t xml:space="preserve">руководствуясь статьей 14 Федерального Закона «Об общих принципах организации местного самоуправления в Российской Федерации» № 131-ФЗ от 06.10.2003г., статьей 6 Устава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</w:t>
      </w:r>
      <w:r w:rsidR="000679FD">
        <w:t xml:space="preserve">зования </w:t>
      </w:r>
      <w:r w:rsidR="005A530A">
        <w:t>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 статьей 13 Положения «Об организации и деятельности 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городского поселения, утвержденного решением Думы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 №163 от 26.07.2007г., (с изменениями от 28.05.2009г.№  159), администрация </w:t>
      </w:r>
      <w:proofErr w:type="spellStart"/>
      <w:r w:rsidR="005A530A">
        <w:t>Бирюсинского</w:t>
      </w:r>
      <w:proofErr w:type="spellEnd"/>
      <w:r w:rsidR="005A530A">
        <w:t xml:space="preserve"> </w:t>
      </w:r>
      <w:r w:rsidR="00A22720">
        <w:t xml:space="preserve">  </w:t>
      </w:r>
      <w:r w:rsidR="005A530A">
        <w:t>муниципального образования «</w:t>
      </w:r>
      <w:proofErr w:type="spellStart"/>
      <w:r w:rsidR="005A530A">
        <w:t>Бирюсинско</w:t>
      </w:r>
      <w:r w:rsidR="000679FD">
        <w:t>е</w:t>
      </w:r>
      <w:proofErr w:type="spellEnd"/>
      <w:r w:rsidR="005A530A">
        <w:t xml:space="preserve"> городско</w:t>
      </w:r>
      <w:r w:rsidR="000679FD">
        <w:t>е</w:t>
      </w:r>
      <w:r w:rsidR="005A530A">
        <w:t xml:space="preserve"> поселени</w:t>
      </w:r>
      <w:r w:rsidR="000679FD">
        <w:t>е</w:t>
      </w:r>
      <w:r w:rsidR="005A530A">
        <w:t>»</w:t>
      </w:r>
    </w:p>
    <w:p w:rsidR="005A530A" w:rsidRDefault="005A530A" w:rsidP="005A530A">
      <w:pPr>
        <w:jc w:val="both"/>
      </w:pPr>
    </w:p>
    <w:p w:rsidR="005A530A" w:rsidRPr="00C0523D" w:rsidRDefault="005A530A" w:rsidP="005A530A">
      <w:pPr>
        <w:jc w:val="both"/>
        <w:rPr>
          <w:sz w:val="28"/>
          <w:szCs w:val="28"/>
        </w:rPr>
      </w:pPr>
      <w:r w:rsidRPr="00C0523D">
        <w:rPr>
          <w:sz w:val="28"/>
          <w:szCs w:val="28"/>
        </w:rPr>
        <w:t>ПОСТАНОВЛЯ</w:t>
      </w:r>
      <w:r w:rsidR="00B005CE">
        <w:rPr>
          <w:sz w:val="28"/>
          <w:szCs w:val="28"/>
        </w:rPr>
        <w:t>ЕТ</w:t>
      </w:r>
      <w:r w:rsidRPr="00C0523D">
        <w:rPr>
          <w:sz w:val="28"/>
          <w:szCs w:val="28"/>
        </w:rPr>
        <w:t>:</w:t>
      </w:r>
      <w:r w:rsidRPr="00C0523D">
        <w:rPr>
          <w:sz w:val="28"/>
          <w:szCs w:val="28"/>
        </w:rPr>
        <w:tab/>
      </w:r>
      <w:r w:rsidRPr="00C0523D">
        <w:rPr>
          <w:sz w:val="28"/>
          <w:szCs w:val="28"/>
        </w:rPr>
        <w:tab/>
      </w:r>
    </w:p>
    <w:p w:rsidR="005A530A" w:rsidRDefault="005A530A" w:rsidP="005A530A">
      <w:pPr>
        <w:jc w:val="both"/>
      </w:pPr>
      <w:r>
        <w:t xml:space="preserve">         </w:t>
      </w:r>
    </w:p>
    <w:p w:rsidR="005A530A" w:rsidRDefault="005A530A" w:rsidP="005A530A">
      <w:pPr>
        <w:jc w:val="both"/>
      </w:pPr>
      <w:r>
        <w:t xml:space="preserve">  1.   Принять к сведению информацию </w:t>
      </w:r>
      <w:r w:rsidR="00B005CE">
        <w:t xml:space="preserve">начальника отдела по вопросам </w:t>
      </w:r>
      <w:proofErr w:type="gramStart"/>
      <w:r w:rsidR="00B005CE">
        <w:t>ЖКХ,  земельным</w:t>
      </w:r>
      <w:proofErr w:type="gramEnd"/>
      <w:r w:rsidR="00B005CE">
        <w:t>, имущественным отношениям, градостроительству и</w:t>
      </w:r>
      <w:r w:rsidR="000679FD">
        <w:t xml:space="preserve"> благоустройству</w:t>
      </w:r>
      <w:r w:rsidR="00B005CE">
        <w:t xml:space="preserve"> администрации </w:t>
      </w:r>
      <w:proofErr w:type="spellStart"/>
      <w:r w:rsidR="00B005CE">
        <w:t>Бирюсинского</w:t>
      </w:r>
      <w:proofErr w:type="spellEnd"/>
      <w:r w:rsidR="00B005CE">
        <w:t xml:space="preserve"> муниципального образования «</w:t>
      </w:r>
      <w:proofErr w:type="spellStart"/>
      <w:r w:rsidR="00B005CE">
        <w:t>Бирюсинское</w:t>
      </w:r>
      <w:proofErr w:type="spellEnd"/>
      <w:r w:rsidR="00B005CE">
        <w:t xml:space="preserve"> городское поселение»  о состоянии уличного освещения на территории </w:t>
      </w:r>
      <w:proofErr w:type="spellStart"/>
      <w:r w:rsidR="00B005CE">
        <w:t>Бирюсинского</w:t>
      </w:r>
      <w:proofErr w:type="spellEnd"/>
      <w:r w:rsidR="00B005CE">
        <w:t xml:space="preserve"> муниципального образования «</w:t>
      </w:r>
      <w:proofErr w:type="spellStart"/>
      <w:r w:rsidR="00B005CE">
        <w:t>Бирюсинское</w:t>
      </w:r>
      <w:proofErr w:type="spellEnd"/>
      <w:r w:rsidR="00B005CE">
        <w:t xml:space="preserve"> городское поселение»</w:t>
      </w:r>
      <w:r w:rsidR="00A22720">
        <w:t xml:space="preserve"> </w:t>
      </w:r>
      <w:r w:rsidR="00B005CE">
        <w:t xml:space="preserve"> </w:t>
      </w:r>
      <w:r>
        <w:t>(</w:t>
      </w:r>
      <w:r w:rsidR="008242C1">
        <w:t xml:space="preserve"> П</w:t>
      </w:r>
      <w:r>
        <w:t>рил</w:t>
      </w:r>
      <w:r w:rsidR="008242C1">
        <w:t>ожение</w:t>
      </w:r>
      <w:r>
        <w:t xml:space="preserve">).   </w:t>
      </w:r>
    </w:p>
    <w:p w:rsidR="00364ECC" w:rsidRDefault="00364ECC" w:rsidP="005A530A">
      <w:pPr>
        <w:ind w:left="-38"/>
        <w:jc w:val="both"/>
      </w:pPr>
      <w:r>
        <w:t xml:space="preserve">   2. </w:t>
      </w:r>
      <w:r w:rsidR="00A22720">
        <w:t xml:space="preserve"> </w:t>
      </w:r>
      <w:r w:rsidR="00AD75D7">
        <w:t>О</w:t>
      </w:r>
      <w:r>
        <w:t>публиковать настоящее постановление в Бирю</w:t>
      </w:r>
      <w:r w:rsidR="00382ABC">
        <w:t>синском Вестнике и разместить на официальном сайте муниципального образования.</w:t>
      </w:r>
      <w:r>
        <w:t xml:space="preserve">         </w:t>
      </w:r>
    </w:p>
    <w:p w:rsidR="00364ECC" w:rsidRDefault="00364ECC" w:rsidP="00364ECC"/>
    <w:p w:rsidR="005A530A" w:rsidRDefault="005A530A" w:rsidP="00364ECC"/>
    <w:p w:rsidR="005A530A" w:rsidRDefault="005A530A" w:rsidP="00364ECC"/>
    <w:p w:rsidR="00364ECC" w:rsidRDefault="00364ECC" w:rsidP="00364ECC">
      <w:pPr>
        <w:rPr>
          <w:szCs w:val="20"/>
        </w:rPr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364ECC" w:rsidRDefault="00364ECC" w:rsidP="00364ECC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364ECC" w:rsidRDefault="00364ECC" w:rsidP="00364ECC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r w:rsidR="00AD75D7">
        <w:t xml:space="preserve">        </w:t>
      </w:r>
      <w:r>
        <w:t xml:space="preserve">       </w:t>
      </w:r>
      <w:r w:rsidR="00AD75D7">
        <w:t xml:space="preserve">А.В. </w:t>
      </w:r>
      <w:proofErr w:type="spellStart"/>
      <w:r w:rsidR="00AD75D7">
        <w:t>Ковпинец</w:t>
      </w:r>
      <w:proofErr w:type="spellEnd"/>
    </w:p>
    <w:p w:rsidR="00064A34" w:rsidRDefault="00064A34"/>
    <w:p w:rsidR="00064A34" w:rsidRDefault="00064A34">
      <w:r>
        <w:t xml:space="preserve">  </w:t>
      </w:r>
    </w:p>
    <w:p w:rsidR="00A22720" w:rsidRDefault="00A22720"/>
    <w:p w:rsidR="00894490" w:rsidRPr="00894490" w:rsidRDefault="00A22720" w:rsidP="00A22720">
      <w:r>
        <w:t xml:space="preserve">                                                                                            </w:t>
      </w:r>
      <w:proofErr w:type="gramStart"/>
      <w:r w:rsidR="00894BA5">
        <w:t>Пр</w:t>
      </w:r>
      <w:r w:rsidR="00894490" w:rsidRPr="00894490">
        <w:t>иложение  к</w:t>
      </w:r>
      <w:proofErr w:type="gramEnd"/>
      <w:r w:rsidR="00894490" w:rsidRPr="00894490">
        <w:t xml:space="preserve">   постановлению</w:t>
      </w:r>
    </w:p>
    <w:p w:rsidR="00894490" w:rsidRDefault="00894490" w:rsidP="00894490">
      <w:pPr>
        <w:jc w:val="both"/>
      </w:pPr>
      <w:r>
        <w:t xml:space="preserve">                                                            </w:t>
      </w:r>
      <w:r w:rsidR="00A22720">
        <w:t xml:space="preserve">                             </w:t>
      </w:r>
      <w:r w:rsidR="00894BA5">
        <w:t xml:space="preserve">   </w:t>
      </w:r>
      <w:proofErr w:type="gramStart"/>
      <w:r w:rsidRPr="00894490">
        <w:t>администрации</w:t>
      </w:r>
      <w:proofErr w:type="gramEnd"/>
      <w:r w:rsidRPr="00894490">
        <w:t xml:space="preserve"> </w:t>
      </w:r>
      <w:proofErr w:type="spellStart"/>
      <w:r w:rsidRPr="00894490">
        <w:t>Бирюсинского</w:t>
      </w:r>
      <w:proofErr w:type="spellEnd"/>
      <w:r w:rsidRPr="00894490">
        <w:t xml:space="preserve">   </w:t>
      </w:r>
    </w:p>
    <w:p w:rsidR="00894490" w:rsidRPr="00894490" w:rsidRDefault="00894490" w:rsidP="00894490">
      <w:pPr>
        <w:jc w:val="both"/>
      </w:pPr>
      <w:r w:rsidRPr="00894490">
        <w:t xml:space="preserve">                                                               </w:t>
      </w:r>
      <w:r w:rsidR="00A22720">
        <w:t xml:space="preserve">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  <w:r w:rsidRPr="00894490"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894490" w:rsidRDefault="00894490" w:rsidP="00894490">
      <w:pPr>
        <w:tabs>
          <w:tab w:val="left" w:pos="7350"/>
        </w:tabs>
        <w:jc w:val="center"/>
      </w:pPr>
      <w:r>
        <w:t xml:space="preserve">                                                       </w:t>
      </w:r>
      <w:r w:rsidR="00A22720">
        <w:t xml:space="preserve">                      </w:t>
      </w:r>
      <w:r>
        <w:t xml:space="preserve">      </w:t>
      </w:r>
      <w:r w:rsidR="00894BA5">
        <w:t xml:space="preserve">  </w:t>
      </w:r>
      <w:r>
        <w:t xml:space="preserve">  </w:t>
      </w:r>
      <w:r w:rsidRPr="00894490">
        <w:t>«</w:t>
      </w:r>
      <w:proofErr w:type="spellStart"/>
      <w:r w:rsidRPr="00894490">
        <w:t>Бирюсинское</w:t>
      </w:r>
      <w:proofErr w:type="spellEnd"/>
      <w:r w:rsidRPr="00894490">
        <w:t xml:space="preserve"> городское поселение»   </w:t>
      </w:r>
    </w:p>
    <w:p w:rsidR="00064A34" w:rsidRDefault="00894490" w:rsidP="00894490">
      <w:pPr>
        <w:tabs>
          <w:tab w:val="left" w:pos="7350"/>
        </w:tabs>
      </w:pPr>
      <w:r>
        <w:t xml:space="preserve">                                                                                     </w:t>
      </w:r>
      <w:r w:rsidR="00A22720">
        <w:t xml:space="preserve">      </w:t>
      </w:r>
      <w:r w:rsidR="00894BA5">
        <w:t xml:space="preserve">  </w:t>
      </w:r>
      <w:r w:rsidR="0044630F">
        <w:t xml:space="preserve">№ </w:t>
      </w:r>
      <w:r w:rsidR="00212B58">
        <w:t>139</w:t>
      </w:r>
      <w:r w:rsidR="0044630F">
        <w:t xml:space="preserve"> </w:t>
      </w:r>
      <w:proofErr w:type="gramStart"/>
      <w:r w:rsidR="0044630F">
        <w:t>от  «</w:t>
      </w:r>
      <w:proofErr w:type="gramEnd"/>
      <w:r w:rsidR="00212B58">
        <w:t>21</w:t>
      </w:r>
      <w:r w:rsidR="0044630F">
        <w:t>»</w:t>
      </w:r>
      <w:r w:rsidR="00212B58">
        <w:t xml:space="preserve">марта </w:t>
      </w:r>
      <w:bookmarkStart w:id="0" w:name="_GoBack"/>
      <w:bookmarkEnd w:id="0"/>
      <w:r w:rsidR="0044630F">
        <w:t>2019</w:t>
      </w:r>
      <w:r w:rsidRPr="00894490">
        <w:t xml:space="preserve"> г.</w:t>
      </w:r>
    </w:p>
    <w:p w:rsidR="005A6E68" w:rsidRDefault="005A6E68" w:rsidP="00894490">
      <w:pPr>
        <w:tabs>
          <w:tab w:val="left" w:pos="7350"/>
        </w:tabs>
      </w:pPr>
    </w:p>
    <w:p w:rsidR="00894490" w:rsidRDefault="00894490" w:rsidP="00894490">
      <w:pPr>
        <w:tabs>
          <w:tab w:val="left" w:pos="7350"/>
        </w:tabs>
        <w:jc w:val="right"/>
      </w:pPr>
    </w:p>
    <w:p w:rsidR="00F7485F" w:rsidRPr="00894BA5" w:rsidRDefault="00F7485F" w:rsidP="00F7485F">
      <w:pPr>
        <w:jc w:val="center"/>
        <w:rPr>
          <w:b/>
          <w:sz w:val="22"/>
          <w:szCs w:val="22"/>
        </w:rPr>
      </w:pPr>
      <w:r w:rsidRPr="00894BA5">
        <w:rPr>
          <w:b/>
          <w:sz w:val="22"/>
          <w:szCs w:val="22"/>
        </w:rPr>
        <w:t xml:space="preserve">Информация к Административному совету о состоянии уличного освещения на территории </w:t>
      </w:r>
      <w:proofErr w:type="spellStart"/>
      <w:r w:rsidRPr="00894BA5">
        <w:rPr>
          <w:b/>
          <w:sz w:val="22"/>
          <w:szCs w:val="22"/>
        </w:rPr>
        <w:t>Бирюсинского</w:t>
      </w:r>
      <w:proofErr w:type="spellEnd"/>
      <w:r w:rsidRPr="00894BA5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Pr="00894BA5">
        <w:rPr>
          <w:b/>
          <w:sz w:val="22"/>
          <w:szCs w:val="22"/>
        </w:rPr>
        <w:t>Бирюсинское</w:t>
      </w:r>
      <w:proofErr w:type="spellEnd"/>
      <w:r w:rsidRPr="00894BA5">
        <w:rPr>
          <w:b/>
          <w:sz w:val="22"/>
          <w:szCs w:val="22"/>
        </w:rPr>
        <w:t xml:space="preserve"> городское поселение».</w:t>
      </w:r>
    </w:p>
    <w:p w:rsidR="005A6E68" w:rsidRPr="00111429" w:rsidRDefault="005A6E68" w:rsidP="00F7485F">
      <w:pPr>
        <w:jc w:val="center"/>
      </w:pPr>
    </w:p>
    <w:p w:rsidR="00126041" w:rsidRPr="003C46B1" w:rsidRDefault="00F7485F" w:rsidP="00894BA5">
      <w:pPr>
        <w:pStyle w:val="af0"/>
        <w:shd w:val="clear" w:color="auto" w:fill="FFFFFF"/>
        <w:spacing w:before="0" w:beforeAutospacing="0" w:after="0" w:afterAutospacing="0"/>
        <w:ind w:firstLine="180"/>
        <w:jc w:val="both"/>
      </w:pPr>
      <w:r w:rsidRPr="00800E1A">
        <w:t xml:space="preserve">      </w:t>
      </w:r>
      <w:r w:rsidR="00041DAB">
        <w:tab/>
      </w:r>
      <w:r w:rsidR="00CF4462">
        <w:rPr>
          <w:rStyle w:val="af1"/>
          <w:color w:val="0D0D0D" w:themeColor="text1" w:themeTint="F2"/>
        </w:rPr>
        <w:t xml:space="preserve">         </w:t>
      </w:r>
      <w:r w:rsidR="0044630F">
        <w:t>Подстанция</w:t>
      </w:r>
      <w:r w:rsidR="0044630F" w:rsidRPr="003C46B1">
        <w:t xml:space="preserve"> «Бирюса»</w:t>
      </w:r>
      <w:r w:rsidR="0044630F">
        <w:t xml:space="preserve">, которая </w:t>
      </w:r>
      <w:r w:rsidR="00126041" w:rsidRPr="003C46B1">
        <w:t xml:space="preserve">стоит на </w:t>
      </w:r>
      <w:proofErr w:type="spellStart"/>
      <w:r w:rsidR="00126041" w:rsidRPr="003C46B1">
        <w:t>балансово</w:t>
      </w:r>
      <w:proofErr w:type="spellEnd"/>
      <w:r w:rsidR="00126041" w:rsidRPr="003C46B1">
        <w:t>-эксплуатационной ответственности ООО «ИСЭК» «Западные электрические сети»</w:t>
      </w:r>
      <w:r w:rsidR="0044630F">
        <w:t>,</w:t>
      </w:r>
      <w:r w:rsidR="0044630F" w:rsidRPr="0044630F">
        <w:t xml:space="preserve"> </w:t>
      </w:r>
      <w:r w:rsidR="0044630F">
        <w:t>является источником э</w:t>
      </w:r>
      <w:r w:rsidR="0044630F" w:rsidRPr="003C46B1">
        <w:t>лектрос</w:t>
      </w:r>
      <w:r w:rsidR="0044630F">
        <w:t>набжения как жилого сектора, так и промышленных объектов города</w:t>
      </w:r>
      <w:r w:rsidR="0044630F" w:rsidRPr="003C46B1">
        <w:t>.</w:t>
      </w:r>
      <w:r w:rsidR="0044630F">
        <w:t xml:space="preserve"> </w:t>
      </w:r>
    </w:p>
    <w:p w:rsidR="00126041" w:rsidRPr="0022247D" w:rsidRDefault="00126041" w:rsidP="00126041">
      <w:pPr>
        <w:tabs>
          <w:tab w:val="left" w:pos="0"/>
        </w:tabs>
        <w:jc w:val="both"/>
      </w:pPr>
      <w:r w:rsidRPr="003C46B1">
        <w:t xml:space="preserve">         Городские электрические сети стоят на </w:t>
      </w:r>
      <w:proofErr w:type="spellStart"/>
      <w:r w:rsidRPr="003C46B1">
        <w:t>балансово</w:t>
      </w:r>
      <w:proofErr w:type="spellEnd"/>
      <w:r w:rsidRPr="003C46B1">
        <w:t xml:space="preserve">-эксплуатационной ответственности </w:t>
      </w:r>
      <w:r w:rsidR="00C0481D">
        <w:t>О</w:t>
      </w:r>
      <w:r w:rsidRPr="003C46B1">
        <w:t>ГУЭП «</w:t>
      </w:r>
      <w:proofErr w:type="spellStart"/>
      <w:r w:rsidRPr="003C46B1">
        <w:t>Облкоммунэнерго</w:t>
      </w:r>
      <w:proofErr w:type="spellEnd"/>
      <w:r w:rsidRPr="003C46B1">
        <w:t>» «</w:t>
      </w:r>
      <w:proofErr w:type="spellStart"/>
      <w:r w:rsidRPr="003C46B1">
        <w:t>Тайшетские</w:t>
      </w:r>
      <w:proofErr w:type="spellEnd"/>
      <w:r w:rsidRPr="003C46B1">
        <w:t xml:space="preserve"> электрические сети». Общее </w:t>
      </w:r>
      <w:r w:rsidRPr="0022247D">
        <w:t>потребление электроэнергии города составляет 21 млн. кВт в год.</w:t>
      </w:r>
    </w:p>
    <w:p w:rsidR="0044630F" w:rsidRDefault="0044630F" w:rsidP="0044630F">
      <w:pPr>
        <w:pStyle w:val="justify2"/>
        <w:widowControl w:val="0"/>
        <w:tabs>
          <w:tab w:val="left" w:pos="0"/>
        </w:tabs>
        <w:spacing w:before="0" w:beforeAutospacing="0" w:after="0" w:afterAutospacing="0"/>
        <w:ind w:firstLine="426"/>
        <w:jc w:val="both"/>
      </w:pPr>
      <w:r>
        <w:t>В настоящее время в городе существует проблема в связи с недостатком устано</w:t>
      </w:r>
      <w:r w:rsidR="001D34C9">
        <w:t>вленной мощности ТП 6/0,4, и не</w:t>
      </w:r>
      <w:r>
        <w:t xml:space="preserve">целесообразной конфигурацией сетей напряжением 0,4 </w:t>
      </w:r>
      <w:proofErr w:type="spellStart"/>
      <w:r>
        <w:t>кВ.</w:t>
      </w:r>
      <w:proofErr w:type="spellEnd"/>
      <w:r>
        <w:t xml:space="preserve"> Качество электроэнергии постепенно улучшается, но в некоторых районах города не соответствует ГОСТу, что </w:t>
      </w:r>
      <w:r w:rsidR="00A8389A">
        <w:t>мешает</w:t>
      </w:r>
      <w:r>
        <w:t xml:space="preserve"> развитию жилищного строительства. </w:t>
      </w:r>
    </w:p>
    <w:p w:rsidR="0044630F" w:rsidRDefault="0044630F" w:rsidP="0044630F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t xml:space="preserve">        Для стабилизации электроснабжения населения города необходимо произвести реконструкцию сетей и трансформаторных подстанций.</w:t>
      </w:r>
    </w:p>
    <w:p w:rsidR="0044630F" w:rsidRDefault="0044630F" w:rsidP="0044630F">
      <w:pPr>
        <w:ind w:firstLine="426"/>
        <w:jc w:val="both"/>
        <w:rPr>
          <w:szCs w:val="20"/>
        </w:rPr>
      </w:pPr>
      <w:r>
        <w:t xml:space="preserve">  В 2018 году на улицах города установлено 25 светильников, произведено развитие сети уличног</w:t>
      </w:r>
      <w:r w:rsidR="00A8389A">
        <w:t xml:space="preserve">о </w:t>
      </w:r>
      <w:r w:rsidR="001D34C9">
        <w:t>освещения по ул. Пушкина, Журавлева</w:t>
      </w:r>
      <w:r>
        <w:t>, Ивана Бич</w:t>
      </w:r>
      <w:r w:rsidR="00C0481D">
        <w:t xml:space="preserve">а </w:t>
      </w:r>
      <w:r>
        <w:t xml:space="preserve">(от ул. Горького до ул. Шушкевича), ул. Вокзальная, </w:t>
      </w:r>
      <w:proofErr w:type="spellStart"/>
      <w:r>
        <w:t>Жилгородок</w:t>
      </w:r>
      <w:proofErr w:type="spellEnd"/>
      <w:r>
        <w:t xml:space="preserve">. </w:t>
      </w:r>
      <w:r w:rsidR="00CF3279">
        <w:t>Протяженность сети уличного освещения увеличилась на 2,2км</w:t>
      </w:r>
      <w:proofErr w:type="gramStart"/>
      <w:r w:rsidR="00CF3279">
        <w:t>. по</w:t>
      </w:r>
      <w:proofErr w:type="gramEnd"/>
      <w:r w:rsidR="00CF3279">
        <w:t xml:space="preserve"> отношению к 2017 году.</w:t>
      </w:r>
    </w:p>
    <w:p w:rsidR="0044630F" w:rsidRDefault="0044630F" w:rsidP="0044630F">
      <w:pPr>
        <w:pStyle w:val="justify2"/>
        <w:widowControl w:val="0"/>
        <w:tabs>
          <w:tab w:val="left" w:pos="0"/>
          <w:tab w:val="left" w:pos="567"/>
          <w:tab w:val="left" w:pos="709"/>
          <w:tab w:val="left" w:pos="851"/>
        </w:tabs>
        <w:spacing w:before="0" w:beforeAutospacing="0" w:after="0" w:afterAutospacing="0"/>
        <w:ind w:firstLine="426"/>
        <w:jc w:val="both"/>
      </w:pPr>
      <w:r>
        <w:t xml:space="preserve">  </w:t>
      </w:r>
      <w:r w:rsidR="00CF3279">
        <w:t>Общая п</w:t>
      </w:r>
      <w:r>
        <w:t>ротяженность сети уличного освещения городских улиц на 01.01.2019 года составля</w:t>
      </w:r>
      <w:r w:rsidR="00CF3279">
        <w:t>ет 37,4 километра, с</w:t>
      </w:r>
      <w:r>
        <w:t xml:space="preserve"> 2013 года </w:t>
      </w:r>
      <w:r w:rsidR="00CF3279">
        <w:t>она</w:t>
      </w:r>
      <w:r>
        <w:t xml:space="preserve"> увеличилась на 7,9 км.</w:t>
      </w:r>
    </w:p>
    <w:p w:rsidR="0044630F" w:rsidRDefault="0044630F" w:rsidP="0044630F">
      <w:pPr>
        <w:pStyle w:val="justify2"/>
        <w:widowControl w:val="0"/>
        <w:tabs>
          <w:tab w:val="left" w:pos="0"/>
          <w:tab w:val="left" w:pos="567"/>
          <w:tab w:val="left" w:pos="709"/>
          <w:tab w:val="left" w:pos="851"/>
        </w:tabs>
        <w:spacing w:before="0" w:beforeAutospacing="0" w:after="0" w:afterAutospacing="0"/>
        <w:ind w:firstLine="426"/>
        <w:jc w:val="both"/>
      </w:pPr>
      <w:r>
        <w:t xml:space="preserve"> Расход ламп уличного освещ</w:t>
      </w:r>
      <w:r w:rsidR="00C0481D">
        <w:t>ения для их замены снизился на 6</w:t>
      </w:r>
      <w:r>
        <w:t xml:space="preserve">0 %, в большей мере из - за перехода на светодиодные светильники </w:t>
      </w:r>
      <w:proofErr w:type="gramStart"/>
      <w:r>
        <w:t>и  составл</w:t>
      </w:r>
      <w:r w:rsidR="00C0481D">
        <w:t>яет</w:t>
      </w:r>
      <w:proofErr w:type="gramEnd"/>
      <w:r w:rsidR="00C0481D">
        <w:t xml:space="preserve"> 50 – 6</w:t>
      </w:r>
      <w:r>
        <w:t>0 штук</w:t>
      </w:r>
      <w:r w:rsidR="00CF3279">
        <w:t xml:space="preserve"> в год</w:t>
      </w:r>
      <w:r>
        <w:t>.</w:t>
      </w:r>
    </w:p>
    <w:p w:rsidR="0044630F" w:rsidRDefault="00634536" w:rsidP="0044630F">
      <w:pPr>
        <w:ind w:firstLine="540"/>
        <w:jc w:val="both"/>
      </w:pPr>
      <w:r>
        <w:t xml:space="preserve">За отчетный период </w:t>
      </w:r>
      <w:r w:rsidR="0044630F">
        <w:t xml:space="preserve">произведена замена светильников на светодиодные </w:t>
      </w:r>
      <w:r w:rsidR="0044630F">
        <w:rPr>
          <w:lang w:val="en-US"/>
        </w:rPr>
        <w:t>LED</w:t>
      </w:r>
      <w:r w:rsidR="0044630F">
        <w:t xml:space="preserve"> – 30Вт по ул. Горького (от ул. Дружбы до конца улицы), ул. Гоголя, ул. Новая, ул. Матросова, ул. Гайдара, ул. Крупская (от ул. Марата до конца улицы), ул. Больничная, ул. </w:t>
      </w:r>
      <w:proofErr w:type="spellStart"/>
      <w:r w:rsidR="0044630F">
        <w:t>Забобонина</w:t>
      </w:r>
      <w:proofErr w:type="spellEnd"/>
      <w:r w:rsidR="0044630F">
        <w:t xml:space="preserve">, ул. Шушкевича (от ул. Кирова до ул. Дружбы), ул. Красной Звезды, ул. Строительная, ул. Стадионная, ул. Пушкина. В общей сложности заменено 93 светильника. В </w:t>
      </w:r>
      <w:r w:rsidR="00C0481D">
        <w:t>2018</w:t>
      </w:r>
      <w:r w:rsidR="0044630F">
        <w:t xml:space="preserve"> году восстановлено уличное освещение во дворах многоквартирных домов по ул. Горького, Октябрьская, м-н Новый и в сквере Горького,11.</w:t>
      </w:r>
    </w:p>
    <w:p w:rsidR="0044630F" w:rsidRDefault="0044630F" w:rsidP="0044630F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rPr>
          <w:color w:val="FF0000"/>
        </w:rPr>
        <w:tab/>
      </w:r>
      <w:r>
        <w:t xml:space="preserve">В 2018 году обслуживание сетей уличного освещения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</w:t>
      </w:r>
      <w:proofErr w:type="gramStart"/>
      <w:r>
        <w:t>осуществлялось  филиалом</w:t>
      </w:r>
      <w:proofErr w:type="gramEnd"/>
      <w:r>
        <w:t xml:space="preserve"> ОГУЭП «</w:t>
      </w:r>
      <w:proofErr w:type="spellStart"/>
      <w:r>
        <w:t>Облкоммунэнерго</w:t>
      </w:r>
      <w:proofErr w:type="spellEnd"/>
      <w:r>
        <w:t>» «</w:t>
      </w:r>
      <w:proofErr w:type="spellStart"/>
      <w:r>
        <w:t>Тайшетские</w:t>
      </w:r>
      <w:proofErr w:type="spellEnd"/>
      <w:r>
        <w:t xml:space="preserve"> электрические сети». В состав работ, согласн</w:t>
      </w:r>
      <w:r w:rsidR="00634536">
        <w:t>о заключенному контракту, входило</w:t>
      </w:r>
      <w:r>
        <w:t xml:space="preserve"> обслуживание линий наружного освещения, замена ламп, техническое обслуживание щитов наружного освещения, обрезка деревьев в охранной зоне линии уличного освещения, ремонт светильников. </w:t>
      </w:r>
    </w:p>
    <w:p w:rsidR="0044630F" w:rsidRDefault="0044630F" w:rsidP="0044630F">
      <w:pPr>
        <w:ind w:firstLine="708"/>
        <w:jc w:val="both"/>
      </w:pPr>
      <w:r>
        <w:t xml:space="preserve">Специалистами </w:t>
      </w:r>
      <w:proofErr w:type="gramStart"/>
      <w:r>
        <w:t xml:space="preserve">администрации  </w:t>
      </w:r>
      <w:r w:rsidR="00634536">
        <w:t>на</w:t>
      </w:r>
      <w:proofErr w:type="gramEnd"/>
      <w:r w:rsidR="00634536">
        <w:t xml:space="preserve"> постоянной основе</w:t>
      </w:r>
      <w:r>
        <w:t xml:space="preserve"> проводится  инвентаризация  уличного освещения, выявляются   неработающие светильники. Акт с результатами инвентаризации передаётся </w:t>
      </w:r>
      <w:r w:rsidR="00634536">
        <w:t>подрядной организации</w:t>
      </w:r>
      <w:r>
        <w:t xml:space="preserve">, </w:t>
      </w:r>
      <w:r w:rsidR="00634536">
        <w:t>которая в соответствии с ним</w:t>
      </w:r>
      <w:r>
        <w:t xml:space="preserve"> прово</w:t>
      </w:r>
      <w:r w:rsidR="00634536">
        <w:t>дит</w:t>
      </w:r>
      <w:r>
        <w:t xml:space="preserve"> </w:t>
      </w:r>
      <w:proofErr w:type="gramStart"/>
      <w:r>
        <w:t>работы  по</w:t>
      </w:r>
      <w:proofErr w:type="gramEnd"/>
      <w:r>
        <w:t xml:space="preserve">  восстановлению  работоспособности уличного освещения. </w:t>
      </w:r>
      <w:r w:rsidR="00634536">
        <w:t>К</w:t>
      </w:r>
      <w:r>
        <w:t xml:space="preserve"> первоочередным работам отнесена замена перегоревших ламп на перекрестках улиц и на центральных улицах по движению общественного транспорта. </w:t>
      </w:r>
    </w:p>
    <w:p w:rsidR="0044630F" w:rsidRPr="00547D17" w:rsidRDefault="0044630F" w:rsidP="0044630F">
      <w:pPr>
        <w:jc w:val="both"/>
        <w:rPr>
          <w:color w:val="0D0D0D" w:themeColor="text1" w:themeTint="F2"/>
        </w:rPr>
      </w:pPr>
      <w:r>
        <w:rPr>
          <w:color w:val="FF0000"/>
        </w:rPr>
        <w:t xml:space="preserve">          </w:t>
      </w:r>
      <w:r>
        <w:t xml:space="preserve">Отпуск электрической энергии для муниципальных нужд производит </w:t>
      </w:r>
      <w:proofErr w:type="spellStart"/>
      <w:r>
        <w:t>Энергосбытовая</w:t>
      </w:r>
      <w:proofErr w:type="spellEnd"/>
      <w:r>
        <w:t xml:space="preserve"> компания ООО «</w:t>
      </w:r>
      <w:proofErr w:type="spellStart"/>
      <w:r>
        <w:t>Иркутскэнергосбыт</w:t>
      </w:r>
      <w:proofErr w:type="spellEnd"/>
      <w:r>
        <w:t xml:space="preserve">».  В соответствии с действующим законодательством в сфере энергетики гарантирующими поставщиками электрической энергии для юридических </w:t>
      </w:r>
      <w:r>
        <w:lastRenderedPageBreak/>
        <w:t xml:space="preserve">лиц электрическая энергия отпускается по нерегулируемым ценам. В связи </w:t>
      </w:r>
      <w:proofErr w:type="gramStart"/>
      <w:r>
        <w:t>с  постоянным</w:t>
      </w:r>
      <w:proofErr w:type="gramEnd"/>
      <w:r>
        <w:t xml:space="preserve"> ростом тарифов на электрическую энергию, возрастающей нагрузкой на бюджет,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 вынуждена предпринимать меры по снижению финансовой нагрузки на бюджет города по оплате за потребляемую электрическую энергию посредством замены старых светильников </w:t>
      </w:r>
      <w:r w:rsidR="00634536">
        <w:t>на энергосберегающие. З</w:t>
      </w:r>
      <w:r>
        <w:t xml:space="preserve">амена светильников ДРЛ </w:t>
      </w:r>
      <w:r w:rsidR="00634536">
        <w:t>250 на светодиодные светильники</w:t>
      </w:r>
      <w:r w:rsidR="00C0481D">
        <w:t xml:space="preserve"> мощностью 30-60Вт</w:t>
      </w:r>
      <w:r>
        <w:t xml:space="preserve"> позво</w:t>
      </w:r>
      <w:r w:rsidR="00634536">
        <w:t>лила</w:t>
      </w:r>
      <w:r>
        <w:t xml:space="preserve"> снизить общее потребление электроэнергии даже с учетом развития сетей уличного освещения. Результатом данных мероприятий стало </w:t>
      </w:r>
      <w:r w:rsidRPr="00547D17">
        <w:rPr>
          <w:color w:val="0D0D0D" w:themeColor="text1" w:themeTint="F2"/>
        </w:rPr>
        <w:t xml:space="preserve">снижение потребления электрической энергии в 2018 году на </w:t>
      </w:r>
      <w:r w:rsidR="00AF1BE0" w:rsidRPr="00547D17">
        <w:rPr>
          <w:color w:val="0D0D0D" w:themeColor="text1" w:themeTint="F2"/>
        </w:rPr>
        <w:t>26</w:t>
      </w:r>
      <w:r w:rsidRPr="00547D17">
        <w:rPr>
          <w:color w:val="0D0D0D" w:themeColor="text1" w:themeTint="F2"/>
        </w:rPr>
        <w:t>% в сравне</w:t>
      </w:r>
      <w:r w:rsidR="00AF1BE0" w:rsidRPr="00547D17">
        <w:rPr>
          <w:color w:val="0D0D0D" w:themeColor="text1" w:themeTint="F2"/>
        </w:rPr>
        <w:t>нии с 2017</w:t>
      </w:r>
      <w:r w:rsidRPr="00547D17">
        <w:rPr>
          <w:color w:val="0D0D0D" w:themeColor="text1" w:themeTint="F2"/>
        </w:rPr>
        <w:t xml:space="preserve"> </w:t>
      </w:r>
      <w:proofErr w:type="gramStart"/>
      <w:r w:rsidRPr="00547D17">
        <w:rPr>
          <w:color w:val="0D0D0D" w:themeColor="text1" w:themeTint="F2"/>
        </w:rPr>
        <w:t>годом,  и</w:t>
      </w:r>
      <w:proofErr w:type="gramEnd"/>
      <w:r w:rsidRPr="00547D17">
        <w:rPr>
          <w:color w:val="0D0D0D" w:themeColor="text1" w:themeTint="F2"/>
        </w:rPr>
        <w:t xml:space="preserve"> составляет 311 тыс</w:t>
      </w:r>
      <w:r w:rsidR="00AF1BE0" w:rsidRPr="00547D17">
        <w:rPr>
          <w:color w:val="0D0D0D" w:themeColor="text1" w:themeTint="F2"/>
        </w:rPr>
        <w:t>. к</w:t>
      </w:r>
      <w:r w:rsidRPr="00547D17">
        <w:rPr>
          <w:color w:val="0D0D0D" w:themeColor="text1" w:themeTint="F2"/>
        </w:rPr>
        <w:t>Вт в год</w:t>
      </w:r>
      <w:r w:rsidR="00AF1BE0" w:rsidRPr="00547D17">
        <w:rPr>
          <w:color w:val="0D0D0D" w:themeColor="text1" w:themeTint="F2"/>
        </w:rPr>
        <w:t>, при том, что общее количество светильников уличного освещения в городе увеличилось на 11%  (48 штук) по отношению к 2017 году и составляет 598 светильников</w:t>
      </w:r>
      <w:r w:rsidRPr="00547D17">
        <w:rPr>
          <w:color w:val="0D0D0D" w:themeColor="text1" w:themeTint="F2"/>
        </w:rPr>
        <w:t xml:space="preserve">. </w:t>
      </w:r>
    </w:p>
    <w:p w:rsidR="00603B5F" w:rsidRPr="00547D17" w:rsidRDefault="00AF1BE0" w:rsidP="00603B5F">
      <w:pPr>
        <w:jc w:val="both"/>
        <w:rPr>
          <w:color w:val="0D0D0D" w:themeColor="text1" w:themeTint="F2"/>
        </w:rPr>
      </w:pPr>
      <w:r w:rsidRPr="00547D17">
        <w:rPr>
          <w:color w:val="0D0D0D" w:themeColor="text1" w:themeTint="F2"/>
        </w:rPr>
        <w:t xml:space="preserve">           </w:t>
      </w:r>
      <w:r w:rsidR="00603B5F" w:rsidRPr="00547D17">
        <w:rPr>
          <w:color w:val="0D0D0D" w:themeColor="text1" w:themeTint="F2"/>
        </w:rPr>
        <w:t xml:space="preserve">На 2019 год запланировано развитие сети уличного освещения </w:t>
      </w:r>
      <w:r w:rsidR="004E5694">
        <w:rPr>
          <w:color w:val="0D0D0D" w:themeColor="text1" w:themeTint="F2"/>
        </w:rPr>
        <w:t>до</w:t>
      </w:r>
      <w:r w:rsidR="00603B5F" w:rsidRPr="00547D17">
        <w:rPr>
          <w:color w:val="0D0D0D" w:themeColor="text1" w:themeTint="F2"/>
        </w:rPr>
        <w:t xml:space="preserve"> ул. Энергетиков, пер. Советский, пер. Безымянный, также </w:t>
      </w:r>
      <w:r w:rsidR="00603B5F" w:rsidRPr="00547D17">
        <w:rPr>
          <w:bCs/>
          <w:color w:val="0D0D0D" w:themeColor="text1" w:themeTint="F2"/>
        </w:rPr>
        <w:t>на 2019 год запланированы работы по замене устаревших светильников ДРЛ 250 на энергосберегающие светодиодные светильники</w:t>
      </w:r>
      <w:r w:rsidR="00C0481D">
        <w:rPr>
          <w:bCs/>
          <w:color w:val="0D0D0D" w:themeColor="text1" w:themeTint="F2"/>
        </w:rPr>
        <w:t xml:space="preserve"> и светодиодные лампы</w:t>
      </w:r>
      <w:r w:rsidR="00603B5F" w:rsidRPr="00547D17">
        <w:rPr>
          <w:bCs/>
          <w:color w:val="0D0D0D" w:themeColor="text1" w:themeTint="F2"/>
        </w:rPr>
        <w:t xml:space="preserve"> по ул. </w:t>
      </w:r>
      <w:r w:rsidR="00603B5F" w:rsidRPr="00547D17">
        <w:rPr>
          <w:color w:val="0D0D0D" w:themeColor="text1" w:themeTint="F2"/>
        </w:rPr>
        <w:t xml:space="preserve">Калинина (от ул. Дружбы вверх до конца улицы), ул. Мира, ул. Чехова, ул. Юбилейная, ул. Ивана Бича (от въезда в МКД </w:t>
      </w:r>
      <w:proofErr w:type="spellStart"/>
      <w:r w:rsidR="00603B5F" w:rsidRPr="00547D17">
        <w:rPr>
          <w:color w:val="0D0D0D" w:themeColor="text1" w:themeTint="F2"/>
        </w:rPr>
        <w:t>мкр</w:t>
      </w:r>
      <w:proofErr w:type="spellEnd"/>
      <w:r w:rsidR="00603B5F" w:rsidRPr="00547D17">
        <w:rPr>
          <w:color w:val="0D0D0D" w:themeColor="text1" w:themeTint="F2"/>
        </w:rPr>
        <w:t xml:space="preserve">. Новый до въезда в гаражи) и светильники </w:t>
      </w:r>
      <w:proofErr w:type="spellStart"/>
      <w:r w:rsidR="00603B5F" w:rsidRPr="00547D17">
        <w:rPr>
          <w:color w:val="0D0D0D" w:themeColor="text1" w:themeTint="F2"/>
        </w:rPr>
        <w:t>ДНаТ</w:t>
      </w:r>
      <w:proofErr w:type="spellEnd"/>
      <w:r w:rsidR="00603B5F" w:rsidRPr="00547D17">
        <w:rPr>
          <w:color w:val="0D0D0D" w:themeColor="text1" w:themeTint="F2"/>
        </w:rPr>
        <w:t xml:space="preserve"> 150 по ул. Горького (от ул. Парижской Коммуны до ул. Дружбы).  </w:t>
      </w:r>
    </w:p>
    <w:p w:rsidR="00603B5F" w:rsidRPr="00547D17" w:rsidRDefault="00547D17" w:rsidP="0044630F">
      <w:pPr>
        <w:jc w:val="both"/>
        <w:rPr>
          <w:color w:val="0D0D0D" w:themeColor="text1" w:themeTint="F2"/>
        </w:rPr>
      </w:pPr>
      <w:r w:rsidRPr="00547D17">
        <w:rPr>
          <w:color w:val="0D0D0D" w:themeColor="text1" w:themeTint="F2"/>
        </w:rPr>
        <w:t xml:space="preserve">            </w:t>
      </w:r>
      <w:r w:rsidR="00603B5F" w:rsidRPr="00547D17">
        <w:rPr>
          <w:color w:val="0D0D0D" w:themeColor="text1" w:themeTint="F2"/>
        </w:rPr>
        <w:t xml:space="preserve">На данный момент из запланированных на год уже выполнены работы по замене </w:t>
      </w:r>
      <w:r>
        <w:rPr>
          <w:color w:val="0D0D0D" w:themeColor="text1" w:themeTint="F2"/>
        </w:rPr>
        <w:t>15</w:t>
      </w:r>
      <w:r w:rsidR="00C0481D">
        <w:rPr>
          <w:color w:val="0D0D0D" w:themeColor="text1" w:themeTint="F2"/>
        </w:rPr>
        <w:t xml:space="preserve"> ламп </w:t>
      </w:r>
      <w:proofErr w:type="spellStart"/>
      <w:r w:rsidR="00C0481D">
        <w:rPr>
          <w:color w:val="0D0D0D" w:themeColor="text1" w:themeTint="F2"/>
        </w:rPr>
        <w:t>ДНат</w:t>
      </w:r>
      <w:proofErr w:type="spellEnd"/>
      <w:r w:rsidR="00C0481D">
        <w:rPr>
          <w:color w:val="0D0D0D" w:themeColor="text1" w:themeTint="F2"/>
        </w:rPr>
        <w:t xml:space="preserve"> 150 и ДРЛ 250</w:t>
      </w:r>
      <w:r>
        <w:rPr>
          <w:color w:val="0D0D0D" w:themeColor="text1" w:themeTint="F2"/>
        </w:rPr>
        <w:t xml:space="preserve"> </w:t>
      </w:r>
      <w:r w:rsidR="00C0481D">
        <w:rPr>
          <w:color w:val="0D0D0D" w:themeColor="text1" w:themeTint="F2"/>
        </w:rPr>
        <w:t>в светильниках</w:t>
      </w:r>
      <w:r w:rsidR="00603B5F" w:rsidRPr="00547D17">
        <w:rPr>
          <w:color w:val="0D0D0D" w:themeColor="text1" w:themeTint="F2"/>
        </w:rPr>
        <w:t xml:space="preserve"> на светодиодные </w:t>
      </w:r>
      <w:r w:rsidR="00C0481D">
        <w:rPr>
          <w:color w:val="0D0D0D" w:themeColor="text1" w:themeTint="F2"/>
        </w:rPr>
        <w:t xml:space="preserve">лампы </w:t>
      </w:r>
      <w:r w:rsidR="00603B5F" w:rsidRPr="00547D17">
        <w:rPr>
          <w:color w:val="0D0D0D" w:themeColor="text1" w:themeTint="F2"/>
        </w:rPr>
        <w:t>мощностью 50</w:t>
      </w:r>
      <w:r w:rsidRPr="00547D17">
        <w:rPr>
          <w:color w:val="0D0D0D" w:themeColor="text1" w:themeTint="F2"/>
        </w:rPr>
        <w:t xml:space="preserve"> </w:t>
      </w:r>
      <w:r w:rsidR="00603B5F" w:rsidRPr="00547D17">
        <w:rPr>
          <w:color w:val="0D0D0D" w:themeColor="text1" w:themeTint="F2"/>
        </w:rPr>
        <w:t>Вт по ул. Горького, Калинина, Шушкевича.</w:t>
      </w:r>
      <w:r w:rsidRPr="00547D17">
        <w:rPr>
          <w:color w:val="0D0D0D" w:themeColor="text1" w:themeTint="F2"/>
        </w:rPr>
        <w:t xml:space="preserve"> А так же произведены работы по развитию сети уличного освещения </w:t>
      </w:r>
      <w:r w:rsidR="004E5694">
        <w:rPr>
          <w:color w:val="0D0D0D" w:themeColor="text1" w:themeTint="F2"/>
        </w:rPr>
        <w:t>до</w:t>
      </w:r>
      <w:r w:rsidRPr="00547D17">
        <w:rPr>
          <w:color w:val="0D0D0D" w:themeColor="text1" w:themeTint="F2"/>
        </w:rPr>
        <w:t xml:space="preserve"> </w:t>
      </w:r>
      <w:r w:rsidR="004E5694">
        <w:rPr>
          <w:color w:val="0D0D0D" w:themeColor="text1" w:themeTint="F2"/>
        </w:rPr>
        <w:t>ул</w:t>
      </w:r>
      <w:r w:rsidRPr="00547D17">
        <w:rPr>
          <w:color w:val="0D0D0D" w:themeColor="text1" w:themeTint="F2"/>
        </w:rPr>
        <w:t>. Энергетиков</w:t>
      </w:r>
      <w:r>
        <w:rPr>
          <w:color w:val="0D0D0D" w:themeColor="text1" w:themeTint="F2"/>
        </w:rPr>
        <w:t>, протяженностью 400м.п</w:t>
      </w:r>
      <w:r w:rsidR="00C0481D">
        <w:rPr>
          <w:color w:val="0D0D0D" w:themeColor="text1" w:themeTint="F2"/>
        </w:rPr>
        <w:t>, установлено пять светодиодных светильников</w:t>
      </w:r>
      <w:r w:rsidRPr="00547D17">
        <w:rPr>
          <w:color w:val="0D0D0D" w:themeColor="text1" w:themeTint="F2"/>
        </w:rPr>
        <w:t>.</w:t>
      </w:r>
    </w:p>
    <w:p w:rsidR="0044630F" w:rsidRPr="00547D17" w:rsidRDefault="00547D17" w:rsidP="0044630F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</w:t>
      </w:r>
      <w:r w:rsidR="00EF3376">
        <w:rPr>
          <w:color w:val="0D0D0D" w:themeColor="text1" w:themeTint="F2"/>
        </w:rPr>
        <w:t>Учитывая э</w:t>
      </w:r>
      <w:r>
        <w:rPr>
          <w:color w:val="0D0D0D" w:themeColor="text1" w:themeTint="F2"/>
        </w:rPr>
        <w:t>кономический эффект от проводимых мероприятий</w:t>
      </w:r>
      <w:r w:rsidR="00EF3376">
        <w:rPr>
          <w:color w:val="0D0D0D" w:themeColor="text1" w:themeTint="F2"/>
        </w:rPr>
        <w:t xml:space="preserve">, </w:t>
      </w:r>
      <w:r w:rsidR="0044630F" w:rsidRPr="00547D17">
        <w:rPr>
          <w:color w:val="0D0D0D" w:themeColor="text1" w:themeTint="F2"/>
        </w:rPr>
        <w:t xml:space="preserve">администрация </w:t>
      </w:r>
      <w:proofErr w:type="spellStart"/>
      <w:r w:rsidR="0044630F" w:rsidRPr="00547D17">
        <w:rPr>
          <w:color w:val="0D0D0D" w:themeColor="text1" w:themeTint="F2"/>
        </w:rPr>
        <w:t>Бирюсинского</w:t>
      </w:r>
      <w:proofErr w:type="spellEnd"/>
      <w:r w:rsidR="0044630F" w:rsidRPr="00547D17">
        <w:rPr>
          <w:color w:val="0D0D0D" w:themeColor="text1" w:themeTint="F2"/>
        </w:rPr>
        <w:t xml:space="preserve"> городского поселения намерена продолжать работу по замене светильников на улицах города на энергосберегающие, </w:t>
      </w:r>
      <w:r w:rsidR="00EF3376">
        <w:rPr>
          <w:color w:val="0D0D0D" w:themeColor="text1" w:themeTint="F2"/>
        </w:rPr>
        <w:t>одновременно с этим развивая сеть уличного освещения в рамках бюджетных возможностей</w:t>
      </w:r>
      <w:r w:rsidR="0044630F" w:rsidRPr="00547D17">
        <w:rPr>
          <w:color w:val="0D0D0D" w:themeColor="text1" w:themeTint="F2"/>
        </w:rPr>
        <w:t xml:space="preserve">. </w:t>
      </w:r>
    </w:p>
    <w:p w:rsidR="0044630F" w:rsidRDefault="0044630F" w:rsidP="0044630F">
      <w:pPr>
        <w:jc w:val="both"/>
      </w:pPr>
    </w:p>
    <w:p w:rsidR="005A6E68" w:rsidRDefault="005A6E68" w:rsidP="00006E12">
      <w:pPr>
        <w:jc w:val="both"/>
      </w:pPr>
    </w:p>
    <w:p w:rsidR="00106F7F" w:rsidRPr="00F205EE" w:rsidRDefault="00311826" w:rsidP="00F17649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1D4C2E" w:rsidRPr="00F205EE">
        <w:rPr>
          <w:sz w:val="22"/>
          <w:szCs w:val="22"/>
        </w:rPr>
        <w:t>ачальник</w:t>
      </w:r>
      <w:r w:rsidR="00106F7F" w:rsidRPr="00F205EE">
        <w:rPr>
          <w:sz w:val="22"/>
          <w:szCs w:val="22"/>
        </w:rPr>
        <w:t>а</w:t>
      </w:r>
      <w:r w:rsidR="001D4C2E" w:rsidRPr="00F205EE">
        <w:rPr>
          <w:sz w:val="22"/>
          <w:szCs w:val="22"/>
        </w:rPr>
        <w:t xml:space="preserve"> отдела по </w:t>
      </w:r>
      <w:r w:rsidR="00106F7F" w:rsidRPr="00F205EE">
        <w:rPr>
          <w:sz w:val="22"/>
          <w:szCs w:val="22"/>
        </w:rPr>
        <w:t xml:space="preserve">вопросам </w:t>
      </w:r>
      <w:r w:rsidR="001D4C2E" w:rsidRPr="00F205EE">
        <w:rPr>
          <w:sz w:val="22"/>
          <w:szCs w:val="22"/>
        </w:rPr>
        <w:t>ЖКХ,</w:t>
      </w:r>
      <w:r w:rsidR="00382ABC" w:rsidRPr="00F205EE">
        <w:rPr>
          <w:sz w:val="22"/>
          <w:szCs w:val="22"/>
        </w:rPr>
        <w:t xml:space="preserve"> </w:t>
      </w:r>
    </w:p>
    <w:p w:rsidR="001D4C2E" w:rsidRPr="00F205EE" w:rsidRDefault="001D4C2E" w:rsidP="00F17649">
      <w:pPr>
        <w:jc w:val="both"/>
        <w:rPr>
          <w:sz w:val="22"/>
          <w:szCs w:val="22"/>
        </w:rPr>
      </w:pPr>
      <w:proofErr w:type="gramStart"/>
      <w:r w:rsidRPr="00F205EE">
        <w:rPr>
          <w:sz w:val="22"/>
          <w:szCs w:val="22"/>
        </w:rPr>
        <w:t>земельным</w:t>
      </w:r>
      <w:proofErr w:type="gramEnd"/>
      <w:r w:rsidRPr="00F205EE">
        <w:rPr>
          <w:sz w:val="22"/>
          <w:szCs w:val="22"/>
        </w:rPr>
        <w:t>, имущественным отношениям,</w:t>
      </w:r>
    </w:p>
    <w:p w:rsidR="00107ABE" w:rsidRPr="00A22720" w:rsidRDefault="001D4C2E" w:rsidP="00F17649">
      <w:pPr>
        <w:jc w:val="both"/>
        <w:rPr>
          <w:sz w:val="20"/>
          <w:szCs w:val="20"/>
        </w:rPr>
      </w:pPr>
      <w:proofErr w:type="gramStart"/>
      <w:r w:rsidRPr="00F205EE">
        <w:rPr>
          <w:sz w:val="22"/>
          <w:szCs w:val="22"/>
        </w:rPr>
        <w:t>градостроительству</w:t>
      </w:r>
      <w:proofErr w:type="gramEnd"/>
      <w:r w:rsidRPr="00F205EE">
        <w:rPr>
          <w:sz w:val="22"/>
          <w:szCs w:val="22"/>
        </w:rPr>
        <w:t xml:space="preserve"> и благоустройству</w:t>
      </w:r>
      <w:r w:rsidR="00A81454" w:rsidRPr="00F205EE">
        <w:rPr>
          <w:sz w:val="22"/>
          <w:szCs w:val="22"/>
        </w:rPr>
        <w:t xml:space="preserve">                                  </w:t>
      </w:r>
      <w:r w:rsidR="00F17649" w:rsidRPr="00F205EE">
        <w:rPr>
          <w:sz w:val="22"/>
          <w:szCs w:val="22"/>
        </w:rPr>
        <w:t xml:space="preserve">                  </w:t>
      </w:r>
      <w:r w:rsidR="00A87D7E">
        <w:rPr>
          <w:sz w:val="22"/>
          <w:szCs w:val="22"/>
        </w:rPr>
        <w:t xml:space="preserve">    </w:t>
      </w:r>
      <w:r w:rsidR="00A81454" w:rsidRPr="00F205EE">
        <w:rPr>
          <w:sz w:val="22"/>
          <w:szCs w:val="22"/>
        </w:rPr>
        <w:t xml:space="preserve"> </w:t>
      </w:r>
      <w:r w:rsidR="00A22720" w:rsidRPr="00F205EE">
        <w:rPr>
          <w:sz w:val="22"/>
          <w:szCs w:val="22"/>
        </w:rPr>
        <w:t xml:space="preserve">             </w:t>
      </w:r>
      <w:r w:rsidR="00106F7F" w:rsidRPr="00F205EE">
        <w:rPr>
          <w:sz w:val="22"/>
          <w:szCs w:val="22"/>
        </w:rPr>
        <w:t xml:space="preserve"> </w:t>
      </w:r>
      <w:r w:rsidR="00F205EE" w:rsidRPr="00F205EE">
        <w:rPr>
          <w:sz w:val="22"/>
          <w:szCs w:val="22"/>
        </w:rPr>
        <w:t>Т.А. Серебренникова</w:t>
      </w:r>
      <w:r w:rsidR="00F205EE">
        <w:rPr>
          <w:sz w:val="20"/>
          <w:szCs w:val="20"/>
        </w:rPr>
        <w:t xml:space="preserve"> </w:t>
      </w:r>
      <w:r w:rsidR="00106F7F">
        <w:rPr>
          <w:sz w:val="20"/>
          <w:szCs w:val="20"/>
        </w:rPr>
        <w:t xml:space="preserve">           </w:t>
      </w:r>
    </w:p>
    <w:sectPr w:rsidR="00107ABE" w:rsidRPr="00A22720" w:rsidSect="00547D17">
      <w:headerReference w:type="even" r:id="rId8"/>
      <w:headerReference w:type="default" r:id="rId9"/>
      <w:pgSz w:w="11906" w:h="16838"/>
      <w:pgMar w:top="238" w:right="849" w:bottom="993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96" w:rsidRDefault="00296096">
      <w:r>
        <w:separator/>
      </w:r>
    </w:p>
  </w:endnote>
  <w:endnote w:type="continuationSeparator" w:id="0">
    <w:p w:rsidR="00296096" w:rsidRDefault="002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96" w:rsidRDefault="00296096">
      <w:r>
        <w:separator/>
      </w:r>
    </w:p>
  </w:footnote>
  <w:footnote w:type="continuationSeparator" w:id="0">
    <w:p w:rsidR="00296096" w:rsidRDefault="002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CC06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73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384" w:rsidRDefault="009E73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8"/>
      <w:framePr w:wrap="around" w:vAnchor="text" w:hAnchor="margin" w:xAlign="right" w:y="1"/>
      <w:rPr>
        <w:rStyle w:val="a9"/>
      </w:rPr>
    </w:pPr>
  </w:p>
  <w:p w:rsidR="009E7384" w:rsidRDefault="009E7384" w:rsidP="004D256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F453D42"/>
    <w:multiLevelType w:val="hybridMultilevel"/>
    <w:tmpl w:val="8D7A13DE"/>
    <w:lvl w:ilvl="0" w:tplc="CF3856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202076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82C765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FAE957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04463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C7A1AA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1843B0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3EC50A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B56DFB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3DF6432"/>
    <w:multiLevelType w:val="hybridMultilevel"/>
    <w:tmpl w:val="DD9078F8"/>
    <w:lvl w:ilvl="0" w:tplc="6388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B17ED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EF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A3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2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4E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BC9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63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E7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B5BB7"/>
    <w:multiLevelType w:val="hybridMultilevel"/>
    <w:tmpl w:val="AB6CD152"/>
    <w:lvl w:ilvl="0" w:tplc="58DC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5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89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C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0D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0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4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23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C2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06E12"/>
    <w:rsid w:val="000126E8"/>
    <w:rsid w:val="00035585"/>
    <w:rsid w:val="00041DAB"/>
    <w:rsid w:val="00044DB3"/>
    <w:rsid w:val="00064A34"/>
    <w:rsid w:val="000679FD"/>
    <w:rsid w:val="00072933"/>
    <w:rsid w:val="000A0F12"/>
    <w:rsid w:val="000A1C55"/>
    <w:rsid w:val="000B55DE"/>
    <w:rsid w:val="000C10CC"/>
    <w:rsid w:val="000D1C1D"/>
    <w:rsid w:val="000D63DC"/>
    <w:rsid w:val="000F2189"/>
    <w:rsid w:val="00106F7F"/>
    <w:rsid w:val="00107ABE"/>
    <w:rsid w:val="00126041"/>
    <w:rsid w:val="001510B1"/>
    <w:rsid w:val="0015146A"/>
    <w:rsid w:val="00152189"/>
    <w:rsid w:val="0016294F"/>
    <w:rsid w:val="00170468"/>
    <w:rsid w:val="001705C7"/>
    <w:rsid w:val="00172486"/>
    <w:rsid w:val="00197E7B"/>
    <w:rsid w:val="001D0BD8"/>
    <w:rsid w:val="001D34C9"/>
    <w:rsid w:val="001D4C2E"/>
    <w:rsid w:val="001D662B"/>
    <w:rsid w:val="00203051"/>
    <w:rsid w:val="00210E55"/>
    <w:rsid w:val="00212B58"/>
    <w:rsid w:val="0022051B"/>
    <w:rsid w:val="0022449B"/>
    <w:rsid w:val="00225A5D"/>
    <w:rsid w:val="00240ECC"/>
    <w:rsid w:val="00244118"/>
    <w:rsid w:val="00271C8D"/>
    <w:rsid w:val="00296096"/>
    <w:rsid w:val="002A267A"/>
    <w:rsid w:val="002C709F"/>
    <w:rsid w:val="002D7C06"/>
    <w:rsid w:val="002F1CDE"/>
    <w:rsid w:val="002F5C09"/>
    <w:rsid w:val="003029CF"/>
    <w:rsid w:val="003039CB"/>
    <w:rsid w:val="00311826"/>
    <w:rsid w:val="00335BE1"/>
    <w:rsid w:val="00351FC0"/>
    <w:rsid w:val="00354882"/>
    <w:rsid w:val="00364ECC"/>
    <w:rsid w:val="00376BD6"/>
    <w:rsid w:val="00382ABC"/>
    <w:rsid w:val="003A5134"/>
    <w:rsid w:val="003B29EA"/>
    <w:rsid w:val="003B68FC"/>
    <w:rsid w:val="003B7860"/>
    <w:rsid w:val="003C6766"/>
    <w:rsid w:val="003C7D77"/>
    <w:rsid w:val="003E2325"/>
    <w:rsid w:val="00403C99"/>
    <w:rsid w:val="00414406"/>
    <w:rsid w:val="00417A3E"/>
    <w:rsid w:val="00430165"/>
    <w:rsid w:val="00440EBC"/>
    <w:rsid w:val="00442B3E"/>
    <w:rsid w:val="0044630F"/>
    <w:rsid w:val="00446551"/>
    <w:rsid w:val="0046760A"/>
    <w:rsid w:val="004722BA"/>
    <w:rsid w:val="004901FA"/>
    <w:rsid w:val="004D2564"/>
    <w:rsid w:val="004E5694"/>
    <w:rsid w:val="004E7441"/>
    <w:rsid w:val="004F0C27"/>
    <w:rsid w:val="004F5DFC"/>
    <w:rsid w:val="0051515E"/>
    <w:rsid w:val="00547D17"/>
    <w:rsid w:val="00560D8C"/>
    <w:rsid w:val="005638E8"/>
    <w:rsid w:val="00564FC4"/>
    <w:rsid w:val="00572887"/>
    <w:rsid w:val="00575A22"/>
    <w:rsid w:val="00576270"/>
    <w:rsid w:val="00580FA6"/>
    <w:rsid w:val="00585574"/>
    <w:rsid w:val="005A3040"/>
    <w:rsid w:val="005A530A"/>
    <w:rsid w:val="005A6E68"/>
    <w:rsid w:val="005F454C"/>
    <w:rsid w:val="00603B5F"/>
    <w:rsid w:val="00606C14"/>
    <w:rsid w:val="00634536"/>
    <w:rsid w:val="006362AB"/>
    <w:rsid w:val="00637DB4"/>
    <w:rsid w:val="006778FF"/>
    <w:rsid w:val="00680B46"/>
    <w:rsid w:val="00682188"/>
    <w:rsid w:val="006925EC"/>
    <w:rsid w:val="00693A37"/>
    <w:rsid w:val="006B0F9A"/>
    <w:rsid w:val="006B272B"/>
    <w:rsid w:val="006D53AA"/>
    <w:rsid w:val="006F294F"/>
    <w:rsid w:val="00706BA2"/>
    <w:rsid w:val="00713AEF"/>
    <w:rsid w:val="0076564D"/>
    <w:rsid w:val="007961BA"/>
    <w:rsid w:val="007B0038"/>
    <w:rsid w:val="007C6B5D"/>
    <w:rsid w:val="00800E1A"/>
    <w:rsid w:val="00817E18"/>
    <w:rsid w:val="008242C1"/>
    <w:rsid w:val="008670DF"/>
    <w:rsid w:val="00871A76"/>
    <w:rsid w:val="00875BE8"/>
    <w:rsid w:val="0087677A"/>
    <w:rsid w:val="00894490"/>
    <w:rsid w:val="00894BA5"/>
    <w:rsid w:val="008A36AE"/>
    <w:rsid w:val="008B2815"/>
    <w:rsid w:val="008C416C"/>
    <w:rsid w:val="008E10B7"/>
    <w:rsid w:val="008E4154"/>
    <w:rsid w:val="0092579E"/>
    <w:rsid w:val="00927E8F"/>
    <w:rsid w:val="009310EE"/>
    <w:rsid w:val="00932371"/>
    <w:rsid w:val="00937107"/>
    <w:rsid w:val="009761EA"/>
    <w:rsid w:val="00984DF8"/>
    <w:rsid w:val="00990604"/>
    <w:rsid w:val="009A1F13"/>
    <w:rsid w:val="009C2CA2"/>
    <w:rsid w:val="009D763B"/>
    <w:rsid w:val="009E512B"/>
    <w:rsid w:val="009E7384"/>
    <w:rsid w:val="009F0A0B"/>
    <w:rsid w:val="00A06C26"/>
    <w:rsid w:val="00A06E53"/>
    <w:rsid w:val="00A22720"/>
    <w:rsid w:val="00A32257"/>
    <w:rsid w:val="00A54335"/>
    <w:rsid w:val="00A81454"/>
    <w:rsid w:val="00A8389A"/>
    <w:rsid w:val="00A87D7E"/>
    <w:rsid w:val="00A97786"/>
    <w:rsid w:val="00AB44B2"/>
    <w:rsid w:val="00AB5630"/>
    <w:rsid w:val="00AD2E18"/>
    <w:rsid w:val="00AD75D7"/>
    <w:rsid w:val="00AE153F"/>
    <w:rsid w:val="00AF1BE0"/>
    <w:rsid w:val="00AF26AE"/>
    <w:rsid w:val="00B005CE"/>
    <w:rsid w:val="00B05F7A"/>
    <w:rsid w:val="00B25763"/>
    <w:rsid w:val="00B2718D"/>
    <w:rsid w:val="00B35E27"/>
    <w:rsid w:val="00B5071D"/>
    <w:rsid w:val="00B61454"/>
    <w:rsid w:val="00B6333D"/>
    <w:rsid w:val="00B63985"/>
    <w:rsid w:val="00B95679"/>
    <w:rsid w:val="00BA0F2C"/>
    <w:rsid w:val="00BA3876"/>
    <w:rsid w:val="00BA6176"/>
    <w:rsid w:val="00BB5072"/>
    <w:rsid w:val="00BD5BAA"/>
    <w:rsid w:val="00BD6320"/>
    <w:rsid w:val="00BE4949"/>
    <w:rsid w:val="00C01AB5"/>
    <w:rsid w:val="00C0481D"/>
    <w:rsid w:val="00C551A2"/>
    <w:rsid w:val="00C5724F"/>
    <w:rsid w:val="00C61D51"/>
    <w:rsid w:val="00C779EB"/>
    <w:rsid w:val="00C96E8A"/>
    <w:rsid w:val="00CA647D"/>
    <w:rsid w:val="00CB67A9"/>
    <w:rsid w:val="00CC06EB"/>
    <w:rsid w:val="00CC1B67"/>
    <w:rsid w:val="00CD2C56"/>
    <w:rsid w:val="00CF3279"/>
    <w:rsid w:val="00CF4462"/>
    <w:rsid w:val="00CF47CD"/>
    <w:rsid w:val="00CF4B3E"/>
    <w:rsid w:val="00CF570B"/>
    <w:rsid w:val="00D00FCF"/>
    <w:rsid w:val="00D06DE6"/>
    <w:rsid w:val="00D07A7C"/>
    <w:rsid w:val="00D20942"/>
    <w:rsid w:val="00D24AA0"/>
    <w:rsid w:val="00D323A8"/>
    <w:rsid w:val="00D4249E"/>
    <w:rsid w:val="00D53E09"/>
    <w:rsid w:val="00D56805"/>
    <w:rsid w:val="00D62E34"/>
    <w:rsid w:val="00D72101"/>
    <w:rsid w:val="00D73473"/>
    <w:rsid w:val="00D8195B"/>
    <w:rsid w:val="00D824F3"/>
    <w:rsid w:val="00D87A31"/>
    <w:rsid w:val="00D96CBC"/>
    <w:rsid w:val="00D96FCC"/>
    <w:rsid w:val="00DA2DF7"/>
    <w:rsid w:val="00DA3677"/>
    <w:rsid w:val="00DA60DC"/>
    <w:rsid w:val="00DA7C89"/>
    <w:rsid w:val="00DB1C5B"/>
    <w:rsid w:val="00DC1B6E"/>
    <w:rsid w:val="00E059D2"/>
    <w:rsid w:val="00E1643D"/>
    <w:rsid w:val="00E42844"/>
    <w:rsid w:val="00E6059F"/>
    <w:rsid w:val="00E8587B"/>
    <w:rsid w:val="00EB3DAF"/>
    <w:rsid w:val="00EE0139"/>
    <w:rsid w:val="00EF3376"/>
    <w:rsid w:val="00F13D26"/>
    <w:rsid w:val="00F17649"/>
    <w:rsid w:val="00F205EE"/>
    <w:rsid w:val="00F25A69"/>
    <w:rsid w:val="00F405D1"/>
    <w:rsid w:val="00F420BF"/>
    <w:rsid w:val="00F62DC0"/>
    <w:rsid w:val="00F637C7"/>
    <w:rsid w:val="00F66FE0"/>
    <w:rsid w:val="00F7485F"/>
    <w:rsid w:val="00FB41EB"/>
    <w:rsid w:val="00FB7B4B"/>
    <w:rsid w:val="00FC76C5"/>
    <w:rsid w:val="00FD258E"/>
    <w:rsid w:val="00FD79DA"/>
    <w:rsid w:val="00FE15D1"/>
    <w:rsid w:val="00FF421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E0020-758E-4F87-8F22-B07B2763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89"/>
    <w:rPr>
      <w:sz w:val="24"/>
      <w:szCs w:val="24"/>
    </w:rPr>
  </w:style>
  <w:style w:type="paragraph" w:styleId="1">
    <w:name w:val="heading 1"/>
    <w:basedOn w:val="a"/>
    <w:next w:val="a"/>
    <w:qFormat/>
    <w:rsid w:val="00DA7C89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A7C8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A7C8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A7C89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A7C89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A7C89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A7C89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C89"/>
    <w:rPr>
      <w:szCs w:val="20"/>
    </w:rPr>
  </w:style>
  <w:style w:type="paragraph" w:styleId="a5">
    <w:name w:val="Subtitle"/>
    <w:basedOn w:val="a"/>
    <w:qFormat/>
    <w:rsid w:val="00DA7C89"/>
    <w:rPr>
      <w:b/>
      <w:bCs/>
    </w:rPr>
  </w:style>
  <w:style w:type="paragraph" w:styleId="21">
    <w:name w:val="Body Text 2"/>
    <w:basedOn w:val="a"/>
    <w:rsid w:val="00DA7C89"/>
    <w:rPr>
      <w:b/>
      <w:sz w:val="28"/>
    </w:rPr>
  </w:style>
  <w:style w:type="paragraph" w:styleId="30">
    <w:name w:val="Body Text 3"/>
    <w:basedOn w:val="a"/>
    <w:rsid w:val="00DA7C89"/>
    <w:rPr>
      <w:b/>
      <w:i/>
      <w:sz w:val="28"/>
    </w:rPr>
  </w:style>
  <w:style w:type="paragraph" w:styleId="a6">
    <w:name w:val="Title"/>
    <w:basedOn w:val="a"/>
    <w:link w:val="a7"/>
    <w:qFormat/>
    <w:rsid w:val="00DA7C89"/>
    <w:pPr>
      <w:jc w:val="center"/>
    </w:pPr>
    <w:rPr>
      <w:b/>
      <w:bCs/>
    </w:rPr>
  </w:style>
  <w:style w:type="paragraph" w:styleId="22">
    <w:name w:val="Body Text Indent 2"/>
    <w:basedOn w:val="a"/>
    <w:rsid w:val="00DA7C89"/>
    <w:pPr>
      <w:spacing w:after="120" w:line="480" w:lineRule="auto"/>
      <w:ind w:left="283"/>
    </w:pPr>
  </w:style>
  <w:style w:type="paragraph" w:styleId="a8">
    <w:name w:val="header"/>
    <w:basedOn w:val="a"/>
    <w:rsid w:val="00DA7C8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89"/>
  </w:style>
  <w:style w:type="paragraph" w:styleId="aa">
    <w:name w:val="caption"/>
    <w:basedOn w:val="a"/>
    <w:next w:val="a"/>
    <w:qFormat/>
    <w:rsid w:val="00DA7C89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A7C89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A7C89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B68FC"/>
    <w:rPr>
      <w:sz w:val="24"/>
      <w:szCs w:val="24"/>
    </w:rPr>
  </w:style>
  <w:style w:type="character" w:customStyle="1" w:styleId="a7">
    <w:name w:val="Название Знак"/>
    <w:link w:val="a6"/>
    <w:rsid w:val="00A81454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151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0B1"/>
  </w:style>
  <w:style w:type="character" w:styleId="af1">
    <w:name w:val="Strong"/>
    <w:uiPriority w:val="22"/>
    <w:qFormat/>
    <w:rsid w:val="001510B1"/>
    <w:rPr>
      <w:b/>
      <w:bCs/>
    </w:rPr>
  </w:style>
  <w:style w:type="paragraph" w:customStyle="1" w:styleId="new">
    <w:name w:val="new"/>
    <w:basedOn w:val="a"/>
    <w:rsid w:val="00BA0F2C"/>
    <w:pPr>
      <w:spacing w:before="100" w:beforeAutospacing="1" w:after="100" w:afterAutospacing="1"/>
    </w:pPr>
  </w:style>
  <w:style w:type="character" w:customStyle="1" w:styleId="10">
    <w:name w:val="Дата1"/>
    <w:basedOn w:val="a0"/>
    <w:rsid w:val="00BA0F2C"/>
  </w:style>
  <w:style w:type="character" w:styleId="af2">
    <w:name w:val="Hyperlink"/>
    <w:uiPriority w:val="99"/>
    <w:unhideWhenUsed/>
    <w:rsid w:val="00BA0F2C"/>
    <w:rPr>
      <w:color w:val="0000FF"/>
      <w:u w:val="single"/>
    </w:rPr>
  </w:style>
  <w:style w:type="paragraph" w:customStyle="1" w:styleId="justify2">
    <w:name w:val="justify2"/>
    <w:basedOn w:val="a"/>
    <w:rsid w:val="00D53E09"/>
    <w:pPr>
      <w:spacing w:before="100" w:beforeAutospacing="1" w:after="100" w:afterAutospacing="1"/>
    </w:pPr>
  </w:style>
  <w:style w:type="paragraph" w:customStyle="1" w:styleId="Standard">
    <w:name w:val="Standard"/>
    <w:rsid w:val="005A6E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3">
    <w:name w:val="Table Grid"/>
    <w:basedOn w:val="a1"/>
    <w:uiPriority w:val="59"/>
    <w:rsid w:val="004463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768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2F90-4363-413C-9923-5F5BEA6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6</cp:revision>
  <cp:lastPrinted>2019-03-19T06:42:00Z</cp:lastPrinted>
  <dcterms:created xsi:type="dcterms:W3CDTF">2019-03-18T04:43:00Z</dcterms:created>
  <dcterms:modified xsi:type="dcterms:W3CDTF">2019-03-20T23:51:00Z</dcterms:modified>
</cp:coreProperties>
</file>