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64A34" w:rsidTr="003B68FC">
        <w:trPr>
          <w:trHeight w:val="3119"/>
        </w:trPr>
        <w:tc>
          <w:tcPr>
            <w:tcW w:w="9889" w:type="dxa"/>
          </w:tcPr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CD2C56" w:rsidRDefault="00606C14">
      <w:pPr>
        <w:pStyle w:val="a3"/>
      </w:pPr>
      <w:r>
        <w:t xml:space="preserve">  </w:t>
      </w:r>
      <w:r w:rsidR="00064A34">
        <w:t xml:space="preserve">От </w:t>
      </w:r>
      <w:r w:rsidR="00693A37">
        <w:t xml:space="preserve"> </w:t>
      </w:r>
      <w:r w:rsidR="009F336A">
        <w:t xml:space="preserve"> </w:t>
      </w:r>
      <w:r w:rsidR="000C3AA7">
        <w:t xml:space="preserve">  </w:t>
      </w:r>
      <w:r w:rsidR="009F336A">
        <w:t xml:space="preserve"> </w:t>
      </w:r>
      <w:r w:rsidR="00321028">
        <w:t>24</w:t>
      </w:r>
      <w:r w:rsidR="00064A34">
        <w:t>.</w:t>
      </w:r>
      <w:r w:rsidR="00321028">
        <w:t>01.</w:t>
      </w:r>
      <w:r w:rsidR="00064A34">
        <w:t>201</w:t>
      </w:r>
      <w:r w:rsidR="00C720ED">
        <w:t>9</w:t>
      </w:r>
      <w:r w:rsidR="00064A34">
        <w:t xml:space="preserve">г.  </w:t>
      </w:r>
      <w:r w:rsidR="00CD2C56">
        <w:t xml:space="preserve">                            </w:t>
      </w:r>
      <w:r>
        <w:t xml:space="preserve">      </w:t>
      </w:r>
      <w:r w:rsidR="009F336A">
        <w:t xml:space="preserve">                                                       </w:t>
      </w:r>
      <w:r>
        <w:t xml:space="preserve"> </w:t>
      </w:r>
      <w:r w:rsidR="00CD2C56">
        <w:t xml:space="preserve">        №</w:t>
      </w:r>
      <w:r w:rsidR="00321028">
        <w:t>33</w:t>
      </w:r>
      <w:r w:rsidR="00C01AB5">
        <w:t xml:space="preserve"> </w:t>
      </w:r>
    </w:p>
    <w:p w:rsidR="00684AA0" w:rsidRDefault="00064A34">
      <w:pPr>
        <w:pStyle w:val="a3"/>
      </w:pPr>
      <w:r>
        <w:t xml:space="preserve">            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5491"/>
      </w:tblGrid>
      <w:tr w:rsidR="00064A34" w:rsidTr="00C720ED">
        <w:trPr>
          <w:trHeight w:val="730"/>
        </w:trPr>
        <w:tc>
          <w:tcPr>
            <w:tcW w:w="5491" w:type="dxa"/>
          </w:tcPr>
          <w:p w:rsidR="00C720ED" w:rsidRDefault="00851CFB" w:rsidP="00B74D22">
            <w:pPr>
              <w:ind w:left="-38"/>
            </w:pPr>
            <w:r>
              <w:t xml:space="preserve">О ходе реализации </w:t>
            </w:r>
            <w:r w:rsidR="00B74D22">
              <w:t>региональной</w:t>
            </w:r>
            <w:r w:rsidR="00C720ED">
              <w:t xml:space="preserve"> </w:t>
            </w:r>
            <w:r>
              <w:t xml:space="preserve">Программы </w:t>
            </w:r>
          </w:p>
          <w:p w:rsidR="00C720ED" w:rsidRDefault="00851CFB" w:rsidP="00B74D22">
            <w:pPr>
              <w:ind w:left="-38"/>
            </w:pPr>
            <w:proofErr w:type="gramStart"/>
            <w:r>
              <w:t>капитального</w:t>
            </w:r>
            <w:proofErr w:type="gramEnd"/>
            <w:r>
              <w:t xml:space="preserve"> ремонта </w:t>
            </w:r>
            <w:r w:rsidR="00B74D22">
              <w:t>общего</w:t>
            </w:r>
            <w:r w:rsidR="00C720ED">
              <w:t xml:space="preserve"> </w:t>
            </w:r>
            <w:r w:rsidR="00B74D22">
              <w:t xml:space="preserve">имущества </w:t>
            </w:r>
          </w:p>
          <w:p w:rsidR="00C720ED" w:rsidRDefault="00B74D22" w:rsidP="00C720ED">
            <w:pPr>
              <w:ind w:left="-38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851CFB">
              <w:t>многоквартирных дом</w:t>
            </w:r>
            <w:r>
              <w:t xml:space="preserve">ах </w:t>
            </w:r>
            <w:r w:rsidR="00851CFB">
              <w:t xml:space="preserve"> на территории</w:t>
            </w:r>
            <w:r w:rsidR="00C720ED">
              <w:t xml:space="preserve"> </w:t>
            </w:r>
          </w:p>
          <w:p w:rsidR="009E7384" w:rsidRDefault="00851CFB" w:rsidP="00C720ED">
            <w:pPr>
              <w:ind w:left="-38"/>
              <w:rPr>
                <w:szCs w:val="20"/>
              </w:rPr>
            </w:pPr>
            <w:proofErr w:type="spellStart"/>
            <w:r>
              <w:t>Бирюсинского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684AA0" w:rsidRDefault="00684AA0">
      <w:pPr>
        <w:jc w:val="both"/>
      </w:pPr>
    </w:p>
    <w:p w:rsidR="00D62E34" w:rsidRDefault="00064A34" w:rsidP="00CD1852">
      <w:pPr>
        <w:ind w:left="-38"/>
        <w:jc w:val="both"/>
      </w:pPr>
      <w:r>
        <w:t xml:space="preserve">          Заслушав информацию </w:t>
      </w:r>
      <w:r w:rsidR="00AD75D7">
        <w:t>начальника отдела</w:t>
      </w:r>
      <w:r>
        <w:t xml:space="preserve"> по</w:t>
      </w:r>
      <w:r w:rsidR="00576270">
        <w:t xml:space="preserve"> вопросам </w:t>
      </w:r>
      <w:r w:rsidR="00F31AD0">
        <w:t>ЖКХ</w:t>
      </w:r>
      <w:r>
        <w:t xml:space="preserve">, </w:t>
      </w:r>
      <w:r w:rsidR="00AD75D7">
        <w:t>земельным, имущественным отношениям, градостроительству и благоустройству</w:t>
      </w:r>
      <w:r w:rsidR="009E7384">
        <w:t xml:space="preserve"> администрации </w:t>
      </w:r>
      <w:proofErr w:type="spellStart"/>
      <w:r w:rsidR="009E7384">
        <w:t>Бирюсинского</w:t>
      </w:r>
      <w:proofErr w:type="spellEnd"/>
      <w:r w:rsidR="009E7384">
        <w:t xml:space="preserve"> муниципального образования «</w:t>
      </w:r>
      <w:proofErr w:type="spellStart"/>
      <w:r w:rsidR="009E7384">
        <w:t>Бирюсинское</w:t>
      </w:r>
      <w:proofErr w:type="spellEnd"/>
      <w:r w:rsidR="009E7384">
        <w:t xml:space="preserve"> городское поселение»</w:t>
      </w:r>
      <w:r>
        <w:t xml:space="preserve"> </w:t>
      </w:r>
      <w:r w:rsidR="00B74D22">
        <w:t xml:space="preserve">О ходе реализации региональной Программы капитального ремонта общего имущества в многоквартирных домах  на территории </w:t>
      </w:r>
      <w:proofErr w:type="spellStart"/>
      <w:r w:rsidR="00B74D22">
        <w:t>Бирюсинского</w:t>
      </w:r>
      <w:proofErr w:type="spellEnd"/>
      <w:r w:rsidR="00B74D22">
        <w:t xml:space="preserve"> городского поселения</w:t>
      </w:r>
      <w:r w:rsidR="00364ECC">
        <w:t xml:space="preserve">, руководствуясь статьей 14 Федерального Закона «Об общих принципах организации местного самоуправления в Российской Федерации» № -131-ФЗ от 06.10.2003г., статьей 6 Устава </w:t>
      </w:r>
      <w:proofErr w:type="spellStart"/>
      <w:r w:rsidR="00364ECC">
        <w:t>Бирюсинского</w:t>
      </w:r>
      <w:proofErr w:type="spellEnd"/>
      <w:r w:rsidR="00364ECC">
        <w:t xml:space="preserve"> муниципального образования «</w:t>
      </w:r>
      <w:proofErr w:type="spellStart"/>
      <w:r w:rsidR="00364ECC">
        <w:t>Бирюсинское</w:t>
      </w:r>
      <w:proofErr w:type="spellEnd"/>
      <w:r w:rsidR="00364ECC">
        <w:t xml:space="preserve"> городское поселение», статьей 13 Положения «Об организации и деятельности администрации </w:t>
      </w:r>
      <w:proofErr w:type="spellStart"/>
      <w:r w:rsidR="00364ECC">
        <w:t>Бирюсинского</w:t>
      </w:r>
      <w:proofErr w:type="spellEnd"/>
      <w:r w:rsidR="00364ECC">
        <w:t xml:space="preserve"> городского поселения, утвержденного решением Думы </w:t>
      </w:r>
      <w:proofErr w:type="spellStart"/>
      <w:r w:rsidR="00364ECC">
        <w:t>Бирюсинского</w:t>
      </w:r>
      <w:proofErr w:type="spellEnd"/>
      <w:r w:rsidR="00364ECC">
        <w:t xml:space="preserve"> муниципального образования  № 163 от 26.07.2007г., (с изменениями от 28.05.2009г. №  159),</w:t>
      </w:r>
      <w:r w:rsidR="00D62E34" w:rsidRPr="00D62E34">
        <w:t xml:space="preserve"> </w:t>
      </w:r>
      <w:r w:rsidR="00D62E34">
        <w:t xml:space="preserve">администрация </w:t>
      </w:r>
      <w:proofErr w:type="spellStart"/>
      <w:r w:rsidR="00D62E34">
        <w:t>Бирюсинского</w:t>
      </w:r>
      <w:proofErr w:type="spellEnd"/>
      <w:r w:rsidR="00D62E34">
        <w:t xml:space="preserve"> городского поселения</w:t>
      </w:r>
    </w:p>
    <w:p w:rsidR="00D62E34" w:rsidRDefault="00D62E34" w:rsidP="00D62E34">
      <w:pPr>
        <w:ind w:firstLine="540"/>
        <w:jc w:val="both"/>
      </w:pPr>
    </w:p>
    <w:p w:rsidR="00364ECC" w:rsidRDefault="00364ECC" w:rsidP="00364ECC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:rsidR="00364ECC" w:rsidRDefault="00364ECC" w:rsidP="00364ECC">
      <w:pPr>
        <w:jc w:val="both"/>
        <w:rPr>
          <w:szCs w:val="20"/>
        </w:rPr>
      </w:pPr>
      <w:r>
        <w:t xml:space="preserve"> </w:t>
      </w:r>
    </w:p>
    <w:p w:rsidR="00364ECC" w:rsidRDefault="00364ECC" w:rsidP="00B74D22">
      <w:pPr>
        <w:ind w:left="-38"/>
      </w:pPr>
      <w:r>
        <w:t xml:space="preserve">          1. Принять к сведению информацию </w:t>
      </w:r>
      <w:r w:rsidR="00B74D22">
        <w:t xml:space="preserve">о ходе реализации региональной Программы капитального ремонта общего имущества в многоквартирных </w:t>
      </w:r>
      <w:proofErr w:type="gramStart"/>
      <w:r w:rsidR="00B74D22">
        <w:t>домах  на</w:t>
      </w:r>
      <w:proofErr w:type="gramEnd"/>
      <w:r w:rsidR="00B74D22">
        <w:t xml:space="preserve"> территории </w:t>
      </w:r>
      <w:proofErr w:type="spellStart"/>
      <w:r w:rsidR="00B74D22">
        <w:t>Бирюсинского</w:t>
      </w:r>
      <w:proofErr w:type="spellEnd"/>
      <w:r w:rsidR="00B74D22">
        <w:t xml:space="preserve"> городского поселения </w:t>
      </w:r>
      <w:r>
        <w:t>(</w:t>
      </w:r>
      <w:r w:rsidR="00FA5073">
        <w:t>Приложение</w:t>
      </w:r>
      <w:r>
        <w:t>).</w:t>
      </w:r>
    </w:p>
    <w:p w:rsidR="00364ECC" w:rsidRDefault="00364ECC" w:rsidP="00364ECC">
      <w:pPr>
        <w:jc w:val="both"/>
      </w:pPr>
      <w:r>
        <w:t xml:space="preserve">         2. </w:t>
      </w:r>
      <w:r w:rsidR="00A94480">
        <w:t xml:space="preserve">Опубликовать настоящее постановление </w:t>
      </w:r>
      <w:proofErr w:type="gramStart"/>
      <w:r w:rsidR="00A94480">
        <w:t>в  Бирюсинском</w:t>
      </w:r>
      <w:proofErr w:type="gramEnd"/>
      <w:r w:rsidR="00A94480">
        <w:t xml:space="preserve"> Вестнике и разместить на официальном сайте </w:t>
      </w:r>
      <w:r w:rsidR="00FA5073">
        <w:t xml:space="preserve">администрации </w:t>
      </w:r>
      <w:proofErr w:type="spellStart"/>
      <w:r w:rsidR="00FA5073">
        <w:t>Бирюсинского</w:t>
      </w:r>
      <w:proofErr w:type="spellEnd"/>
      <w:r w:rsidR="00FA5073">
        <w:t xml:space="preserve"> городского поселения</w:t>
      </w:r>
      <w:r w:rsidR="00A94480">
        <w:t xml:space="preserve">.         </w:t>
      </w:r>
    </w:p>
    <w:p w:rsidR="00364ECC" w:rsidRDefault="00364ECC" w:rsidP="00364ECC">
      <w:pPr>
        <w:jc w:val="both"/>
      </w:pPr>
      <w:r>
        <w:t xml:space="preserve">         </w:t>
      </w:r>
    </w:p>
    <w:p w:rsidR="00364ECC" w:rsidRDefault="00364ECC" w:rsidP="00364ECC"/>
    <w:p w:rsidR="00EF64E3" w:rsidRDefault="00EF64E3" w:rsidP="00364ECC"/>
    <w:p w:rsidR="00EF64E3" w:rsidRDefault="00EF64E3" w:rsidP="00364ECC"/>
    <w:p w:rsidR="00EF64E3" w:rsidRDefault="00EF64E3" w:rsidP="00364ECC"/>
    <w:p w:rsidR="00364ECC" w:rsidRDefault="00364ECC" w:rsidP="00364ECC">
      <w:pPr>
        <w:rPr>
          <w:szCs w:val="20"/>
        </w:rPr>
      </w:pPr>
      <w:r>
        <w:t xml:space="preserve">Глава администрации </w:t>
      </w:r>
      <w:proofErr w:type="spellStart"/>
      <w:r>
        <w:t>Бирюсинского</w:t>
      </w:r>
      <w:proofErr w:type="spellEnd"/>
      <w:r>
        <w:t xml:space="preserve"> </w:t>
      </w:r>
    </w:p>
    <w:p w:rsidR="00364ECC" w:rsidRDefault="00364ECC" w:rsidP="00364ECC">
      <w:pPr>
        <w:ind w:right="-492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</w:t>
      </w:r>
    </w:p>
    <w:p w:rsidR="00364ECC" w:rsidRDefault="00364ECC" w:rsidP="00364ECC">
      <w:pPr>
        <w:ind w:right="-492"/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</w:t>
      </w:r>
      <w:r w:rsidR="00AD75D7">
        <w:t xml:space="preserve">        </w:t>
      </w:r>
      <w:r>
        <w:t xml:space="preserve">       </w:t>
      </w:r>
      <w:r w:rsidR="00AD75D7">
        <w:t xml:space="preserve">А.В. </w:t>
      </w:r>
      <w:proofErr w:type="spellStart"/>
      <w:r w:rsidR="00AD75D7">
        <w:t>Ковпинец</w:t>
      </w:r>
      <w:proofErr w:type="spellEnd"/>
    </w:p>
    <w:p w:rsidR="00364ECC" w:rsidRDefault="00364ECC" w:rsidP="00364ECC"/>
    <w:p w:rsidR="00364ECC" w:rsidRDefault="00364ECC" w:rsidP="00364ECC"/>
    <w:p w:rsidR="00064A34" w:rsidRDefault="00064A34"/>
    <w:p w:rsidR="00064A34" w:rsidRDefault="00064A34"/>
    <w:p w:rsidR="00F46400" w:rsidRDefault="00F46400"/>
    <w:p w:rsidR="00FA5073" w:rsidRDefault="00064A34" w:rsidP="00FA5073">
      <w:r>
        <w:lastRenderedPageBreak/>
        <w:t xml:space="preserve">            </w:t>
      </w:r>
      <w:r w:rsidR="00F46400">
        <w:t xml:space="preserve">                                                                 </w:t>
      </w:r>
      <w:r w:rsidR="00F74307">
        <w:t xml:space="preserve">   </w:t>
      </w:r>
      <w:r w:rsidR="000A11E7">
        <w:t xml:space="preserve">    </w:t>
      </w:r>
      <w:r w:rsidR="00FA5073">
        <w:t xml:space="preserve">        </w:t>
      </w:r>
    </w:p>
    <w:p w:rsidR="00F46400" w:rsidRPr="00F46400" w:rsidRDefault="00FA5073" w:rsidP="00FA5073">
      <w:pPr>
        <w:rPr>
          <w:sz w:val="20"/>
        </w:rPr>
      </w:pPr>
      <w:r>
        <w:t xml:space="preserve">                                                                                            </w:t>
      </w:r>
      <w:r w:rsidR="00F46400" w:rsidRPr="00F4640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>
        <w:rPr>
          <w:sz w:val="20"/>
        </w:rPr>
        <w:t>к постановлению а</w:t>
      </w:r>
      <w:r w:rsidR="00F46400" w:rsidRPr="00F46400">
        <w:rPr>
          <w:sz w:val="20"/>
        </w:rPr>
        <w:t xml:space="preserve">дминистрации  </w:t>
      </w:r>
    </w:p>
    <w:p w:rsidR="00F46400" w:rsidRPr="00F46400" w:rsidRDefault="00F46400" w:rsidP="00F46400">
      <w:pPr>
        <w:pStyle w:val="a3"/>
        <w:tabs>
          <w:tab w:val="left" w:pos="142"/>
        </w:tabs>
        <w:jc w:val="center"/>
        <w:rPr>
          <w:sz w:val="20"/>
        </w:rPr>
      </w:pPr>
      <w:r w:rsidRPr="00F46400">
        <w:rPr>
          <w:sz w:val="20"/>
        </w:rPr>
        <w:t xml:space="preserve">                                                                           </w:t>
      </w:r>
      <w:r w:rsidR="000A11E7">
        <w:rPr>
          <w:sz w:val="20"/>
        </w:rPr>
        <w:t xml:space="preserve">             </w:t>
      </w:r>
      <w:r w:rsidRPr="00F46400">
        <w:rPr>
          <w:sz w:val="20"/>
        </w:rPr>
        <w:t xml:space="preserve"> </w:t>
      </w:r>
      <w:r w:rsidR="00FA5073">
        <w:rPr>
          <w:sz w:val="20"/>
        </w:rPr>
        <w:t xml:space="preserve">                </w:t>
      </w:r>
      <w:proofErr w:type="spellStart"/>
      <w:r w:rsidRPr="00F46400">
        <w:rPr>
          <w:sz w:val="20"/>
        </w:rPr>
        <w:t>Бирюсинского</w:t>
      </w:r>
      <w:proofErr w:type="spellEnd"/>
      <w:r w:rsidRPr="00F46400">
        <w:rPr>
          <w:sz w:val="20"/>
        </w:rPr>
        <w:t xml:space="preserve"> муниципального образования</w:t>
      </w:r>
    </w:p>
    <w:p w:rsidR="00F46400" w:rsidRPr="00F46400" w:rsidRDefault="00F46400" w:rsidP="00F46400">
      <w:pPr>
        <w:pStyle w:val="a3"/>
        <w:tabs>
          <w:tab w:val="left" w:pos="142"/>
        </w:tabs>
        <w:jc w:val="center"/>
        <w:rPr>
          <w:sz w:val="20"/>
        </w:rPr>
      </w:pPr>
      <w:r w:rsidRPr="00F46400">
        <w:rPr>
          <w:sz w:val="20"/>
        </w:rPr>
        <w:t xml:space="preserve">                                                           </w:t>
      </w:r>
      <w:r w:rsidR="000A11E7">
        <w:rPr>
          <w:sz w:val="20"/>
        </w:rPr>
        <w:t xml:space="preserve">              </w:t>
      </w:r>
      <w:r w:rsidRPr="00F46400">
        <w:rPr>
          <w:sz w:val="20"/>
        </w:rPr>
        <w:t xml:space="preserve"> </w:t>
      </w:r>
      <w:r w:rsidR="00FA5073">
        <w:rPr>
          <w:sz w:val="20"/>
        </w:rPr>
        <w:t xml:space="preserve">                 </w:t>
      </w:r>
      <w:r w:rsidRPr="00F46400">
        <w:rPr>
          <w:sz w:val="20"/>
        </w:rPr>
        <w:t>«</w:t>
      </w:r>
      <w:proofErr w:type="spellStart"/>
      <w:r w:rsidRPr="00F46400">
        <w:rPr>
          <w:sz w:val="20"/>
        </w:rPr>
        <w:t>Бирюсинское</w:t>
      </w:r>
      <w:proofErr w:type="spellEnd"/>
      <w:r w:rsidRPr="00F46400">
        <w:rPr>
          <w:sz w:val="20"/>
        </w:rPr>
        <w:t xml:space="preserve"> городское поселение»   </w:t>
      </w:r>
    </w:p>
    <w:p w:rsidR="00107ABE" w:rsidRPr="00F46400" w:rsidRDefault="00F46400" w:rsidP="00F46400">
      <w:r w:rsidRPr="00F46400">
        <w:rPr>
          <w:sz w:val="20"/>
          <w:szCs w:val="20"/>
        </w:rPr>
        <w:t xml:space="preserve">                                                                                            </w:t>
      </w:r>
      <w:r w:rsidR="00F74307">
        <w:rPr>
          <w:sz w:val="20"/>
          <w:szCs w:val="20"/>
        </w:rPr>
        <w:t xml:space="preserve">  </w:t>
      </w:r>
      <w:r w:rsidR="000A11E7">
        <w:rPr>
          <w:sz w:val="20"/>
          <w:szCs w:val="20"/>
        </w:rPr>
        <w:t xml:space="preserve">        </w:t>
      </w:r>
      <w:r w:rsidR="00F74307">
        <w:rPr>
          <w:sz w:val="20"/>
          <w:szCs w:val="20"/>
        </w:rPr>
        <w:t xml:space="preserve"> </w:t>
      </w:r>
      <w:r w:rsidRPr="00F464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51CDE">
        <w:rPr>
          <w:sz w:val="20"/>
          <w:szCs w:val="20"/>
        </w:rPr>
        <w:t xml:space="preserve">      </w:t>
      </w:r>
      <w:r w:rsidRPr="00F46400">
        <w:rPr>
          <w:sz w:val="20"/>
          <w:szCs w:val="20"/>
        </w:rPr>
        <w:t>№</w:t>
      </w:r>
      <w:r w:rsidR="00321028">
        <w:rPr>
          <w:sz w:val="20"/>
          <w:szCs w:val="20"/>
        </w:rPr>
        <w:t>33</w:t>
      </w:r>
      <w:r w:rsidRPr="00F464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F46400">
        <w:rPr>
          <w:sz w:val="20"/>
          <w:szCs w:val="20"/>
        </w:rPr>
        <w:t xml:space="preserve">от </w:t>
      </w:r>
      <w:r w:rsidR="00610981">
        <w:rPr>
          <w:sz w:val="20"/>
          <w:szCs w:val="20"/>
        </w:rPr>
        <w:t xml:space="preserve"> </w:t>
      </w:r>
      <w:r w:rsidRPr="00F46400">
        <w:rPr>
          <w:sz w:val="20"/>
          <w:szCs w:val="20"/>
        </w:rPr>
        <w:t xml:space="preserve"> </w:t>
      </w:r>
      <w:r w:rsidR="00321028">
        <w:rPr>
          <w:sz w:val="20"/>
          <w:szCs w:val="20"/>
        </w:rPr>
        <w:t>24</w:t>
      </w:r>
      <w:bookmarkStart w:id="0" w:name="_GoBack"/>
      <w:bookmarkEnd w:id="0"/>
      <w:r w:rsidRPr="00F46400">
        <w:rPr>
          <w:sz w:val="20"/>
          <w:szCs w:val="20"/>
        </w:rPr>
        <w:t>.</w:t>
      </w:r>
      <w:r w:rsidR="00B74D22">
        <w:rPr>
          <w:sz w:val="20"/>
          <w:szCs w:val="20"/>
        </w:rPr>
        <w:t>01</w:t>
      </w:r>
      <w:r w:rsidRPr="00F46400">
        <w:rPr>
          <w:sz w:val="20"/>
          <w:szCs w:val="20"/>
        </w:rPr>
        <w:t>. 201</w:t>
      </w:r>
      <w:r w:rsidR="00F31AD0">
        <w:rPr>
          <w:sz w:val="20"/>
          <w:szCs w:val="20"/>
        </w:rPr>
        <w:t>9</w:t>
      </w:r>
      <w:r w:rsidRPr="00F46400">
        <w:rPr>
          <w:sz w:val="20"/>
          <w:szCs w:val="20"/>
        </w:rPr>
        <w:t xml:space="preserve">г.   </w:t>
      </w:r>
      <w:r w:rsidRPr="00F46400">
        <w:t xml:space="preserve">    </w:t>
      </w:r>
    </w:p>
    <w:p w:rsidR="00F46400" w:rsidRDefault="00F46400" w:rsidP="00A81454">
      <w:pPr>
        <w:jc w:val="center"/>
        <w:rPr>
          <w:b/>
        </w:rPr>
      </w:pPr>
    </w:p>
    <w:p w:rsidR="00B07039" w:rsidRDefault="00B07039" w:rsidP="00A81454">
      <w:pPr>
        <w:jc w:val="center"/>
        <w:rPr>
          <w:b/>
        </w:rPr>
      </w:pPr>
    </w:p>
    <w:p w:rsidR="00FA5073" w:rsidRDefault="00791116" w:rsidP="00AC7E39">
      <w:pPr>
        <w:ind w:left="-38"/>
        <w:jc w:val="center"/>
      </w:pPr>
      <w:r>
        <w:t xml:space="preserve">   </w:t>
      </w:r>
      <w:r w:rsidR="00FA5073">
        <w:t xml:space="preserve">Информация </w:t>
      </w:r>
      <w:proofErr w:type="gramStart"/>
      <w:r w:rsidR="00B74D22">
        <w:t>о  ходе</w:t>
      </w:r>
      <w:proofErr w:type="gramEnd"/>
      <w:r w:rsidR="00B74D22">
        <w:t xml:space="preserve"> реализации</w:t>
      </w:r>
      <w:r w:rsidR="00FA5073">
        <w:t xml:space="preserve"> </w:t>
      </w:r>
      <w:r w:rsidR="00B74D22">
        <w:t xml:space="preserve">Программы капитального ремонта </w:t>
      </w:r>
      <w:r w:rsidR="00651CDE">
        <w:t xml:space="preserve">многоквартирных </w:t>
      </w:r>
    </w:p>
    <w:p w:rsidR="00A81454" w:rsidRDefault="00651CDE" w:rsidP="00AC7E39">
      <w:pPr>
        <w:ind w:left="-38"/>
        <w:jc w:val="center"/>
      </w:pPr>
      <w:proofErr w:type="gramStart"/>
      <w:r>
        <w:t>домов</w:t>
      </w:r>
      <w:proofErr w:type="gramEnd"/>
      <w:r>
        <w:t xml:space="preserve"> Иркутской области</w:t>
      </w:r>
      <w:r w:rsidR="00FA5073">
        <w:t xml:space="preserve"> </w:t>
      </w:r>
      <w:r w:rsidR="00B74D22">
        <w:t xml:space="preserve">на территории </w:t>
      </w:r>
      <w:proofErr w:type="spellStart"/>
      <w:r w:rsidR="00B74D22">
        <w:t>Бирюсинского</w:t>
      </w:r>
      <w:proofErr w:type="spellEnd"/>
      <w:r w:rsidR="00B74D22">
        <w:t xml:space="preserve"> городского поселения</w:t>
      </w:r>
    </w:p>
    <w:p w:rsidR="00AC7E39" w:rsidRDefault="00AC7E39" w:rsidP="00B74D22">
      <w:pPr>
        <w:ind w:left="-38"/>
      </w:pPr>
    </w:p>
    <w:p w:rsidR="00791116" w:rsidRPr="00CF7631" w:rsidRDefault="00791116" w:rsidP="00791116">
      <w:pPr>
        <w:jc w:val="both"/>
      </w:pPr>
      <w:r>
        <w:t xml:space="preserve">        </w:t>
      </w:r>
      <w:r w:rsidRPr="00CF7631">
        <w:t>Для решения задачи своевременного проведения капитального ремонта общего имущества в многоквартирных домах в рамках исполнения требований Жилищного кодекса Российской Федерации Законодательным собранием Иркутской области был принят закон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области».</w:t>
      </w:r>
    </w:p>
    <w:p w:rsidR="00791116" w:rsidRPr="00CF7631" w:rsidRDefault="00791116" w:rsidP="00791116">
      <w:pPr>
        <w:jc w:val="both"/>
      </w:pPr>
      <w:r>
        <w:t xml:space="preserve">         </w:t>
      </w:r>
      <w:r w:rsidRPr="00CF7631">
        <w:t>Во исполнение указанных выше документов постановлением Правительства Иркутской области от 20 марта 2014 года № 138-пп утверждена региональная программа капитального ремонта общего имущества в многоквартирных домах на территории Иркутской области на 2014-2043 годы (далее – региональная программа капитального ремонта).</w:t>
      </w:r>
    </w:p>
    <w:p w:rsidR="00791116" w:rsidRPr="00CF7631" w:rsidRDefault="00791116" w:rsidP="00791116">
      <w:pPr>
        <w:jc w:val="both"/>
      </w:pPr>
      <w:r>
        <w:t xml:space="preserve">         </w:t>
      </w:r>
      <w:r w:rsidRPr="00CF7631">
        <w:t>Региональная программа капитального ремонта включает в себя все многоквартирные дома, расположенные на территории Иркутской области, за исключением многоквартирных домов, признанных в установленном порядке аварийными и подлежащими сносу.</w:t>
      </w:r>
    </w:p>
    <w:p w:rsidR="00791116" w:rsidRDefault="00A63401" w:rsidP="00791116">
      <w:pPr>
        <w:jc w:val="both"/>
      </w:pPr>
      <w:r>
        <w:t xml:space="preserve">         </w:t>
      </w:r>
      <w:r w:rsidR="00791116" w:rsidRPr="00CF7631">
        <w:t>Срок реализации региональной программы капитального ремонта установлен в соответствии со статьей 168 Жилищного кодекса Российской Федерации – 30 лет</w:t>
      </w:r>
      <w:r w:rsidR="00791116">
        <w:t xml:space="preserve"> (с сентября 2014 года)</w:t>
      </w:r>
      <w:r w:rsidR="00791116" w:rsidRPr="00CF7631">
        <w:t>.</w:t>
      </w:r>
    </w:p>
    <w:p w:rsidR="00A427A9" w:rsidRDefault="00A63401" w:rsidP="00791116">
      <w:pPr>
        <w:jc w:val="both"/>
      </w:pPr>
      <w:r>
        <w:t xml:space="preserve">         </w:t>
      </w:r>
      <w:r w:rsidR="00791116" w:rsidRPr="00CF7631">
        <w:t>Непосредственное исполнение региональной программы капитального ремонта осуществляется на основании краткосрочных планов (со сроком на три года).</w:t>
      </w:r>
      <w:r w:rsidR="00791116">
        <w:t xml:space="preserve"> </w:t>
      </w:r>
      <w:r w:rsidR="00791116" w:rsidRPr="00CF7631">
        <w:t>27 марта 2017 года постановлением Правительства Иркутской области № 47-мпр утвержден краткосрочный план реализации в 2017-2019 годах региональной программы капитального ремонта общего имущества в многоквартирных домах на территории Иркутской области на 2014 - 2043 годы.</w:t>
      </w:r>
    </w:p>
    <w:p w:rsidR="008A5C1F" w:rsidRDefault="00791116" w:rsidP="00F21BE1">
      <w:pPr>
        <w:jc w:val="both"/>
      </w:pPr>
      <w:r w:rsidRPr="00CF7631">
        <w:t xml:space="preserve"> </w:t>
      </w:r>
      <w:r w:rsidR="00A427A9">
        <w:t xml:space="preserve">        </w:t>
      </w:r>
      <w:r w:rsidRPr="00A427A9">
        <w:t xml:space="preserve">Данный краткосрочный план разработан сроком на три года и включает </w:t>
      </w:r>
      <w:r w:rsidR="00DC6940" w:rsidRPr="00A427A9">
        <w:t>22</w:t>
      </w:r>
      <w:r w:rsidRPr="00A427A9">
        <w:t xml:space="preserve"> многоквартир</w:t>
      </w:r>
      <w:r w:rsidR="00DC6940" w:rsidRPr="00A427A9">
        <w:t>ных дома</w:t>
      </w:r>
      <w:r w:rsidR="00A84890">
        <w:t>, расположенных на территории</w:t>
      </w:r>
      <w:r w:rsidRPr="00A427A9">
        <w:t xml:space="preserve"> города </w:t>
      </w:r>
      <w:r w:rsidR="0053712E" w:rsidRPr="00A427A9">
        <w:t>Бирюсинск</w:t>
      </w:r>
      <w:r w:rsidRPr="00A427A9">
        <w:t xml:space="preserve">а, </w:t>
      </w:r>
      <w:r w:rsidR="00A427A9" w:rsidRPr="00A427A9">
        <w:t>из них три пятиэтажных до</w:t>
      </w:r>
      <w:r w:rsidR="00A84890">
        <w:t xml:space="preserve">ма </w:t>
      </w:r>
      <w:r w:rsidR="00A427A9" w:rsidRPr="00A427A9">
        <w:t>и девятнадцать двухэтажных</w:t>
      </w:r>
      <w:r w:rsidR="00A84890">
        <w:t xml:space="preserve"> домов</w:t>
      </w:r>
      <w:r w:rsidRPr="00A427A9">
        <w:t>.</w:t>
      </w:r>
    </w:p>
    <w:p w:rsidR="00FF1078" w:rsidRDefault="00A427A9" w:rsidP="00F21BE1">
      <w:pPr>
        <w:jc w:val="both"/>
      </w:pPr>
      <w:r w:rsidRPr="00A427A9">
        <w:t xml:space="preserve"> </w:t>
      </w:r>
      <w:r w:rsidR="00FF1078" w:rsidRPr="00FF1078">
        <w:rPr>
          <w:noProof/>
        </w:rPr>
        <w:drawing>
          <wp:inline distT="0" distB="0" distL="0" distR="0">
            <wp:extent cx="6124575" cy="286702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1BE1" w:rsidRDefault="00FF1078" w:rsidP="00F21BE1">
      <w:pPr>
        <w:jc w:val="both"/>
      </w:pPr>
      <w:r>
        <w:t xml:space="preserve">      </w:t>
      </w:r>
      <w:r w:rsidR="006E3D3F">
        <w:t xml:space="preserve">   </w:t>
      </w:r>
      <w:r>
        <w:t>В</w:t>
      </w:r>
      <w:r w:rsidR="00A427A9" w:rsidRPr="00A427A9">
        <w:t xml:space="preserve"> 2018 году были завершены работы по капитальному ремонту пятиэтажных домов</w:t>
      </w:r>
      <w:r w:rsidR="00F21BE1">
        <w:t xml:space="preserve"> (</w:t>
      </w:r>
      <w:proofErr w:type="spellStart"/>
      <w:r w:rsidR="00F21BE1">
        <w:t>ул.Октябрьская</w:t>
      </w:r>
      <w:proofErr w:type="spellEnd"/>
      <w:r w:rsidR="00F21BE1">
        <w:t>, д.8, ул. Первомайская, д.8, ул. Советская, д.21)</w:t>
      </w:r>
      <w:r w:rsidR="00A427A9" w:rsidRPr="00A427A9">
        <w:t xml:space="preserve"> и 10 двухэтажных домов</w:t>
      </w:r>
      <w:r w:rsidR="00F21BE1" w:rsidRPr="00F21BE1">
        <w:t xml:space="preserve"> </w:t>
      </w:r>
      <w:r w:rsidR="00F21BE1">
        <w:t>(ул. Советская, д.7, 10, 12, 13; ул. Школьная, д.1,2,4; ул. Крупской, д.47,</w:t>
      </w:r>
      <w:r w:rsidR="002F6161">
        <w:t xml:space="preserve"> </w:t>
      </w:r>
      <w:r w:rsidR="00F21BE1">
        <w:t>49; ул. Горького, д.10)</w:t>
      </w:r>
      <w:r w:rsidR="00A427A9" w:rsidRPr="00A427A9">
        <w:t>.</w:t>
      </w:r>
      <w:r w:rsidR="00F21BE1">
        <w:t xml:space="preserve">            </w:t>
      </w:r>
    </w:p>
    <w:p w:rsidR="00F21BE1" w:rsidRDefault="00F21BE1" w:rsidP="00F21BE1">
      <w:pPr>
        <w:jc w:val="both"/>
      </w:pPr>
      <w:r>
        <w:lastRenderedPageBreak/>
        <w:t xml:space="preserve">         По пятиэтажным домам были произведены следующие работы:</w:t>
      </w:r>
    </w:p>
    <w:p w:rsidR="00F21BE1" w:rsidRDefault="00F21BE1" w:rsidP="00F21BE1">
      <w:pPr>
        <w:numPr>
          <w:ilvl w:val="0"/>
          <w:numId w:val="9"/>
        </w:numPr>
        <w:jc w:val="both"/>
      </w:pPr>
      <w:r>
        <w:t>Ремонт внутридомовых инженерных систем горячего водоснабжения;</w:t>
      </w:r>
    </w:p>
    <w:p w:rsidR="00F21BE1" w:rsidRDefault="00F21BE1" w:rsidP="00F21BE1">
      <w:pPr>
        <w:numPr>
          <w:ilvl w:val="0"/>
          <w:numId w:val="9"/>
        </w:numPr>
        <w:jc w:val="both"/>
      </w:pPr>
      <w:r>
        <w:t>Ремонт крыши;</w:t>
      </w:r>
    </w:p>
    <w:p w:rsidR="00F21BE1" w:rsidRDefault="00F21BE1" w:rsidP="00F21BE1">
      <w:pPr>
        <w:numPr>
          <w:ilvl w:val="0"/>
          <w:numId w:val="9"/>
        </w:numPr>
        <w:jc w:val="both"/>
      </w:pPr>
      <w:r>
        <w:t>Ремонт подвальных помещений;</w:t>
      </w:r>
    </w:p>
    <w:p w:rsidR="00F21BE1" w:rsidRDefault="00F21BE1" w:rsidP="00F21BE1">
      <w:pPr>
        <w:numPr>
          <w:ilvl w:val="0"/>
          <w:numId w:val="9"/>
        </w:numPr>
        <w:jc w:val="both"/>
      </w:pPr>
      <w:r>
        <w:t>Ремонт фасада;</w:t>
      </w:r>
    </w:p>
    <w:p w:rsidR="00F21BE1" w:rsidRDefault="00F21BE1" w:rsidP="00F21BE1">
      <w:pPr>
        <w:numPr>
          <w:ilvl w:val="0"/>
          <w:numId w:val="9"/>
        </w:numPr>
        <w:jc w:val="both"/>
      </w:pPr>
      <w:r>
        <w:t>Ремонт системы электроснабжения.</w:t>
      </w:r>
    </w:p>
    <w:p w:rsidR="00A427A9" w:rsidRPr="00A427A9" w:rsidRDefault="00F21BE1" w:rsidP="00F21BE1">
      <w:pPr>
        <w:ind w:firstLine="567"/>
        <w:jc w:val="both"/>
      </w:pPr>
      <w:r>
        <w:t xml:space="preserve">По дому, расположенному по адресу: ул. Октябрьская, д.8 дополнительно произведен ремонт внутридомовой системы водоотведения. В двухэтажных домах </w:t>
      </w:r>
      <w:r w:rsidR="008A5C1F">
        <w:t>отремонтированы</w:t>
      </w:r>
      <w:r>
        <w:t xml:space="preserve"> </w:t>
      </w:r>
      <w:proofErr w:type="spellStart"/>
      <w:r>
        <w:t>отмостки</w:t>
      </w:r>
      <w:proofErr w:type="spellEnd"/>
      <w:r>
        <w:t xml:space="preserve"> и кро</w:t>
      </w:r>
      <w:r w:rsidR="008A5C1F">
        <w:t>вли</w:t>
      </w:r>
      <w:r>
        <w:t>.</w:t>
      </w:r>
    </w:p>
    <w:p w:rsidR="00A84890" w:rsidRDefault="00DC6940" w:rsidP="00B07039">
      <w:pPr>
        <w:shd w:val="clear" w:color="auto" w:fill="FFFFFF" w:themeFill="background1"/>
        <w:jc w:val="both"/>
      </w:pPr>
      <w:r w:rsidRPr="00B07039">
        <w:rPr>
          <w:shd w:val="clear" w:color="auto" w:fill="FFFFFF" w:themeFill="background1"/>
        </w:rPr>
        <w:t xml:space="preserve">         </w:t>
      </w:r>
      <w:r w:rsidR="00791116" w:rsidRPr="00B07039">
        <w:rPr>
          <w:shd w:val="clear" w:color="auto" w:fill="FFFFFF" w:themeFill="background1"/>
        </w:rPr>
        <w:t>Общий объем финансирования Краткосрочного плана </w:t>
      </w:r>
      <w:r w:rsidR="00684AA0">
        <w:rPr>
          <w:shd w:val="clear" w:color="auto" w:fill="FFFFFF" w:themeFill="background1"/>
        </w:rPr>
        <w:t xml:space="preserve">за </w:t>
      </w:r>
      <w:r w:rsidR="00607347">
        <w:rPr>
          <w:shd w:val="clear" w:color="auto" w:fill="FFFFFF" w:themeFill="background1"/>
        </w:rPr>
        <w:t>2016</w:t>
      </w:r>
      <w:r w:rsidR="00B07039">
        <w:rPr>
          <w:shd w:val="clear" w:color="auto" w:fill="FFFFFF" w:themeFill="background1"/>
        </w:rPr>
        <w:t xml:space="preserve">-2019 </w:t>
      </w:r>
      <w:proofErr w:type="spellStart"/>
      <w:r w:rsidR="00B07039">
        <w:rPr>
          <w:shd w:val="clear" w:color="auto" w:fill="FFFFFF" w:themeFill="background1"/>
        </w:rPr>
        <w:t>г.г</w:t>
      </w:r>
      <w:proofErr w:type="spellEnd"/>
      <w:r w:rsidR="00B07039">
        <w:rPr>
          <w:shd w:val="clear" w:color="auto" w:fill="FFFFFF" w:themeFill="background1"/>
        </w:rPr>
        <w:t>.</w:t>
      </w:r>
      <w:r w:rsidR="00791116" w:rsidRPr="00B07039">
        <w:rPr>
          <w:shd w:val="clear" w:color="auto" w:fill="FFFFFF" w:themeFill="background1"/>
        </w:rPr>
        <w:t xml:space="preserve"> по городу </w:t>
      </w:r>
      <w:r w:rsidR="00A84890" w:rsidRPr="00B07039">
        <w:rPr>
          <w:shd w:val="clear" w:color="auto" w:fill="FFFFFF" w:themeFill="background1"/>
        </w:rPr>
        <w:t>Бирюсинску</w:t>
      </w:r>
      <w:r w:rsidR="00791116" w:rsidRPr="00B07039">
        <w:rPr>
          <w:shd w:val="clear" w:color="auto" w:fill="FFFFFF" w:themeFill="background1"/>
        </w:rPr>
        <w:t> </w:t>
      </w:r>
      <w:r w:rsidR="008A5C1F" w:rsidRPr="00B07039">
        <w:rPr>
          <w:shd w:val="clear" w:color="auto" w:fill="FFFFFF" w:themeFill="background1"/>
        </w:rPr>
        <w:t>на данный момент составляет</w:t>
      </w:r>
      <w:r w:rsidR="00791116" w:rsidRPr="00B07039">
        <w:rPr>
          <w:shd w:val="clear" w:color="auto" w:fill="FFFFFF" w:themeFill="background1"/>
        </w:rPr>
        <w:t> </w:t>
      </w:r>
      <w:r w:rsidR="00B07039">
        <w:rPr>
          <w:shd w:val="clear" w:color="auto" w:fill="FFFFFF" w:themeFill="background1"/>
        </w:rPr>
        <w:t>44 026,883 тыс.</w:t>
      </w:r>
      <w:r w:rsidR="00791116" w:rsidRPr="00B07039">
        <w:rPr>
          <w:shd w:val="clear" w:color="auto" w:fill="FFFFFF" w:themeFill="background1"/>
        </w:rPr>
        <w:t xml:space="preserve"> руб.</w:t>
      </w:r>
      <w:r w:rsidR="00DB0AEE">
        <w:rPr>
          <w:shd w:val="clear" w:color="auto" w:fill="FFFFFF" w:themeFill="background1"/>
        </w:rPr>
        <w:t xml:space="preserve">, при </w:t>
      </w:r>
      <w:r w:rsidR="00684AA0">
        <w:rPr>
          <w:shd w:val="clear" w:color="auto" w:fill="FFFFFF" w:themeFill="background1"/>
        </w:rPr>
        <w:t>этом</w:t>
      </w:r>
      <w:r w:rsidR="00684AA0" w:rsidRPr="00684AA0">
        <w:rPr>
          <w:shd w:val="clear" w:color="auto" w:fill="FFFFFF" w:themeFill="background1"/>
        </w:rPr>
        <w:t xml:space="preserve"> </w:t>
      </w:r>
      <w:r w:rsidR="00684AA0">
        <w:rPr>
          <w:shd w:val="clear" w:color="auto" w:fill="FFFFFF" w:themeFill="background1"/>
        </w:rPr>
        <w:t>за 30 лет действия программы</w:t>
      </w:r>
      <w:r w:rsidR="00DB0AEE">
        <w:rPr>
          <w:shd w:val="clear" w:color="auto" w:fill="FFFFFF" w:themeFill="background1"/>
        </w:rPr>
        <w:t xml:space="preserve"> четырнадцать отремонтированных домов</w:t>
      </w:r>
      <w:r w:rsidR="00684AA0">
        <w:rPr>
          <w:shd w:val="clear" w:color="auto" w:fill="FFFFFF" w:themeFill="background1"/>
        </w:rPr>
        <w:t xml:space="preserve"> оплатят </w:t>
      </w:r>
      <w:r w:rsidR="00D6028C">
        <w:rPr>
          <w:shd w:val="clear" w:color="auto" w:fill="FFFFFF" w:themeFill="background1"/>
        </w:rPr>
        <w:t xml:space="preserve">взносы за капитальный ремонт домов, в которых они проживают, в размере </w:t>
      </w:r>
      <w:r w:rsidR="00684AA0">
        <w:rPr>
          <w:shd w:val="clear" w:color="auto" w:fill="FFFFFF" w:themeFill="background1"/>
        </w:rPr>
        <w:t>33 313,867</w:t>
      </w:r>
      <w:r w:rsidR="00684AA0" w:rsidRPr="00684AA0">
        <w:rPr>
          <w:shd w:val="clear" w:color="auto" w:fill="FFFFFF" w:themeFill="background1"/>
        </w:rPr>
        <w:t xml:space="preserve"> </w:t>
      </w:r>
      <w:r w:rsidR="00684AA0">
        <w:rPr>
          <w:shd w:val="clear" w:color="auto" w:fill="FFFFFF" w:themeFill="background1"/>
        </w:rPr>
        <w:t>тыс.</w:t>
      </w:r>
      <w:r w:rsidR="00684AA0" w:rsidRPr="00B07039">
        <w:rPr>
          <w:shd w:val="clear" w:color="auto" w:fill="FFFFFF" w:themeFill="background1"/>
        </w:rPr>
        <w:t xml:space="preserve"> руб</w:t>
      </w:r>
      <w:r w:rsidR="00D6028C">
        <w:rPr>
          <w:shd w:val="clear" w:color="auto" w:fill="FFFFFF" w:themeFill="background1"/>
        </w:rPr>
        <w:t>лей.</w:t>
      </w:r>
    </w:p>
    <w:p w:rsidR="00F21BE1" w:rsidRDefault="00F21BE1" w:rsidP="00A84890">
      <w:pPr>
        <w:jc w:val="both"/>
      </w:pPr>
      <w:r>
        <w:t xml:space="preserve">         По оставшимся девяти двухэтажным домам</w:t>
      </w:r>
      <w:r w:rsidR="00FF1078">
        <w:t xml:space="preserve"> (ул. Советская, 2,3,4,6,8,9,15, ул. Школьная, 3,6)</w:t>
      </w:r>
      <w:r>
        <w:t xml:space="preserve"> </w:t>
      </w:r>
      <w:r w:rsidR="00FF1078">
        <w:t xml:space="preserve">в 2018 году </w:t>
      </w:r>
      <w:r>
        <w:t xml:space="preserve">Фонд капитального ремонта направил предложения собственникам </w:t>
      </w:r>
      <w:r w:rsidR="00043A1F">
        <w:t>с указанием плановых видов и стоимости работ</w:t>
      </w:r>
      <w:r w:rsidR="00FF1078">
        <w:t xml:space="preserve"> на 2019 год</w:t>
      </w:r>
      <w:r w:rsidR="00043A1F">
        <w:t>. Решениями общих собраний собственники либо внесли корректировки, либо согласовали предлагаемые</w:t>
      </w:r>
      <w:r w:rsidR="001C0D1E">
        <w:t xml:space="preserve"> Фондом</w:t>
      </w:r>
      <w:r w:rsidR="00043A1F">
        <w:t xml:space="preserve"> сумму и виды работ.</w:t>
      </w:r>
    </w:p>
    <w:p w:rsidR="006E6F65" w:rsidRDefault="00B50DEA" w:rsidP="006E6F65">
      <w:pPr>
        <w:ind w:firstLine="567"/>
        <w:jc w:val="both"/>
      </w:pPr>
      <w:r>
        <w:t xml:space="preserve">После внесения и утверждения </w:t>
      </w:r>
      <w:r w:rsidR="004955AC">
        <w:t>М</w:t>
      </w:r>
      <w:r>
        <w:t xml:space="preserve">инистерством жилищной политики, энергетики и </w:t>
      </w:r>
      <w:proofErr w:type="gramStart"/>
      <w:r>
        <w:t>транспорта  Иркутской</w:t>
      </w:r>
      <w:proofErr w:type="gramEnd"/>
      <w:r>
        <w:t xml:space="preserve"> области изменений в краткосрочный план в части стоимости капитального ремонта многоквартирных домов</w:t>
      </w:r>
      <w:r w:rsidR="00D44ED1">
        <w:t xml:space="preserve"> на 2019 год</w:t>
      </w:r>
      <w:r w:rsidR="004955AC">
        <w:t xml:space="preserve">, Фондом будет произведен отбор подрядных организаций для выполнения работ по капитальному ремонту </w:t>
      </w:r>
      <w:r w:rsidR="00C86C3C">
        <w:t xml:space="preserve">общего имущества многоквартирных домов </w:t>
      </w:r>
      <w:proofErr w:type="spellStart"/>
      <w:r w:rsidR="00C86C3C">
        <w:t>Бирюсинского</w:t>
      </w:r>
      <w:proofErr w:type="spellEnd"/>
      <w:r w:rsidR="00C86C3C">
        <w:t xml:space="preserve"> муниципального образования путем проведения электронных аукционов.</w:t>
      </w:r>
    </w:p>
    <w:p w:rsidR="00C86C3C" w:rsidRDefault="00C86C3C" w:rsidP="00C86C3C">
      <w:pPr>
        <w:jc w:val="both"/>
      </w:pPr>
      <w:r>
        <w:t xml:space="preserve">          </w:t>
      </w:r>
      <w:r w:rsidR="00CD1852">
        <w:t xml:space="preserve"> </w:t>
      </w:r>
      <w:r w:rsidR="00D44ED1">
        <w:t>Н</w:t>
      </w:r>
      <w:r>
        <w:t xml:space="preserve">а сегодняшний день по </w:t>
      </w:r>
      <w:proofErr w:type="spellStart"/>
      <w:r>
        <w:t>Бирюсинскому</w:t>
      </w:r>
      <w:proofErr w:type="spellEnd"/>
      <w:r>
        <w:t xml:space="preserve"> муниципальному образованию за собственниками жилья многоквартирных домов числится общая задолженность по уплате взносов за капитальный ремонт в</w:t>
      </w:r>
      <w:r w:rsidR="004155CA">
        <w:t xml:space="preserve"> размере </w:t>
      </w:r>
      <w:r w:rsidR="00043A1F">
        <w:t>7 012</w:t>
      </w:r>
      <w:r w:rsidR="00D44ED1">
        <w:t> </w:t>
      </w:r>
      <w:r w:rsidR="00043A1F">
        <w:t>048</w:t>
      </w:r>
      <w:r w:rsidR="00D44ED1">
        <w:t xml:space="preserve"> рублей</w:t>
      </w:r>
      <w:r w:rsidR="004155CA">
        <w:t>.</w:t>
      </w:r>
    </w:p>
    <w:p w:rsidR="004155CA" w:rsidRDefault="007E3381" w:rsidP="00043A1F">
      <w:pPr>
        <w:jc w:val="both"/>
      </w:pPr>
      <w:r>
        <w:t xml:space="preserve">         </w:t>
      </w:r>
      <w:r w:rsidR="00FA5073">
        <w:t>Фонд</w:t>
      </w:r>
      <w:r w:rsidR="004155CA">
        <w:t xml:space="preserve"> капитального ремонта многоквартирных домов Иркутской области</w:t>
      </w:r>
      <w:r w:rsidR="00043A1F">
        <w:t xml:space="preserve"> с 2017 года</w:t>
      </w:r>
      <w:r w:rsidR="004155CA">
        <w:t xml:space="preserve"> </w:t>
      </w:r>
      <w:r w:rsidR="00043A1F">
        <w:t xml:space="preserve">активно занимается </w:t>
      </w:r>
      <w:r w:rsidR="004155CA">
        <w:t>взыскание</w:t>
      </w:r>
      <w:r w:rsidR="00043A1F">
        <w:t>м</w:t>
      </w:r>
      <w:r w:rsidR="004155CA">
        <w:t xml:space="preserve"> задолженности </w:t>
      </w:r>
      <w:r w:rsidR="00043A1F">
        <w:t>в судебном порядке</w:t>
      </w:r>
      <w:r w:rsidR="004155CA">
        <w:t>. Кроме того, Фон</w:t>
      </w:r>
      <w:r w:rsidR="00043A1F">
        <w:t xml:space="preserve">д идет навстречу собственникам, накопившим задолженность по взносам, заключая с ними соглашения о </w:t>
      </w:r>
      <w:r w:rsidR="004155CA">
        <w:t>реструктури</w:t>
      </w:r>
      <w:r w:rsidR="00CD1852">
        <w:t>зации задолженности</w:t>
      </w:r>
      <w:r w:rsidR="00FD1EE9">
        <w:t>, дает возможность гражданам получать субсидии</w:t>
      </w:r>
      <w:r w:rsidR="004155CA">
        <w:t>.</w:t>
      </w:r>
    </w:p>
    <w:p w:rsidR="00C86C3C" w:rsidRDefault="00FD1EE9" w:rsidP="006E6F65">
      <w:pPr>
        <w:ind w:firstLine="567"/>
        <w:jc w:val="both"/>
        <w:rPr>
          <w:color w:val="0D0D0D" w:themeColor="text1" w:themeTint="F2"/>
        </w:rPr>
      </w:pPr>
      <w:r w:rsidRPr="00905D41">
        <w:t>По итогам 2018</w:t>
      </w:r>
      <w:r w:rsidR="004155CA" w:rsidRPr="00905D41">
        <w:t xml:space="preserve"> года собираемость взносов за капитальный ремонт общего имущества МКД на территории </w:t>
      </w:r>
      <w:proofErr w:type="spellStart"/>
      <w:r w:rsidR="004155CA" w:rsidRPr="00905D41">
        <w:t>Бирюсинского</w:t>
      </w:r>
      <w:proofErr w:type="spellEnd"/>
      <w:r w:rsidR="004155CA" w:rsidRPr="00905D41">
        <w:t xml:space="preserve"> городского поселения </w:t>
      </w:r>
      <w:r w:rsidR="004155CA" w:rsidRPr="00905D41">
        <w:rPr>
          <w:color w:val="0D0D0D" w:themeColor="text1" w:themeTint="F2"/>
        </w:rPr>
        <w:t>составляет</w:t>
      </w:r>
      <w:r w:rsidR="00581E0E" w:rsidRPr="00905D41">
        <w:rPr>
          <w:color w:val="0D0D0D" w:themeColor="text1" w:themeTint="F2"/>
        </w:rPr>
        <w:t xml:space="preserve"> 70%</w:t>
      </w:r>
      <w:r w:rsidR="00905D41" w:rsidRPr="00905D41">
        <w:rPr>
          <w:color w:val="0D0D0D" w:themeColor="text1" w:themeTint="F2"/>
        </w:rPr>
        <w:t xml:space="preserve">, наблюдается положительная динамика, </w:t>
      </w:r>
      <w:r w:rsidR="004155CA" w:rsidRPr="00905D41">
        <w:rPr>
          <w:color w:val="0D0D0D" w:themeColor="text1" w:themeTint="F2"/>
        </w:rPr>
        <w:t>на 01.01.2016</w:t>
      </w:r>
      <w:r w:rsidR="00D44ED1">
        <w:rPr>
          <w:color w:val="0D0D0D" w:themeColor="text1" w:themeTint="F2"/>
        </w:rPr>
        <w:t xml:space="preserve"> </w:t>
      </w:r>
      <w:r w:rsidR="004155CA" w:rsidRPr="00905D41">
        <w:rPr>
          <w:color w:val="0D0D0D" w:themeColor="text1" w:themeTint="F2"/>
        </w:rPr>
        <w:t>года</w:t>
      </w:r>
      <w:r w:rsidR="00905D41" w:rsidRPr="00905D41">
        <w:rPr>
          <w:color w:val="0D0D0D" w:themeColor="text1" w:themeTint="F2"/>
        </w:rPr>
        <w:t xml:space="preserve"> данный показатель составлял 45%.</w:t>
      </w:r>
      <w:r w:rsidR="00905D41">
        <w:rPr>
          <w:color w:val="0D0D0D" w:themeColor="text1" w:themeTint="F2"/>
        </w:rPr>
        <w:t xml:space="preserve"> Это свидетельствует о том, что население видит, что программа капитального ремонта действительно работает.</w:t>
      </w:r>
      <w:r w:rsidR="008A5C1F">
        <w:rPr>
          <w:color w:val="0D0D0D" w:themeColor="text1" w:themeTint="F2"/>
        </w:rPr>
        <w:t xml:space="preserve"> </w:t>
      </w:r>
    </w:p>
    <w:p w:rsidR="001C0D1E" w:rsidRDefault="001C0D1E" w:rsidP="006E6F65">
      <w:pPr>
        <w:ind w:firstLine="567"/>
        <w:jc w:val="both"/>
        <w:rPr>
          <w:color w:val="0D0D0D" w:themeColor="text1" w:themeTint="F2"/>
        </w:rPr>
      </w:pPr>
    </w:p>
    <w:p w:rsidR="00684AA0" w:rsidRDefault="00684AA0" w:rsidP="00684AA0">
      <w:pPr>
        <w:jc w:val="both"/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inline distT="0" distB="0" distL="0" distR="0">
            <wp:extent cx="6372225" cy="2838450"/>
            <wp:effectExtent l="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6269" w:rsidRDefault="006E3D3F" w:rsidP="006E3D3F">
      <w:pPr>
        <w:jc w:val="both"/>
      </w:pPr>
      <w:r>
        <w:lastRenderedPageBreak/>
        <w:t xml:space="preserve">         </w:t>
      </w:r>
      <w:r w:rsidR="00581E0E">
        <w:t xml:space="preserve">В 1 квартале 2019 года Фонд капитального ремонта общего имущества многоквартирных домов Иркутской области планирует провести выездные </w:t>
      </w:r>
      <w:r w:rsidR="00D44ED1">
        <w:t>встречи с</w:t>
      </w:r>
      <w:r w:rsidR="00581E0E">
        <w:t xml:space="preserve"> граждан</w:t>
      </w:r>
      <w:r w:rsidR="00D44ED1">
        <w:t>ами</w:t>
      </w:r>
      <w:r w:rsidR="00581E0E">
        <w:t xml:space="preserve"> </w:t>
      </w:r>
      <w:proofErr w:type="spellStart"/>
      <w:r w:rsidR="00581E0E">
        <w:t>Бирюсинского</w:t>
      </w:r>
      <w:proofErr w:type="spellEnd"/>
      <w:r w:rsidR="00581E0E">
        <w:t xml:space="preserve"> городского поселения</w:t>
      </w:r>
      <w:r w:rsidR="00D44ED1">
        <w:t>, в процессе которых будут даны разъяснения по интересующим вопросам. И</w:t>
      </w:r>
      <w:r w:rsidR="00581E0E">
        <w:t xml:space="preserve">нформация о дате и времени проведения встреч с населением представителей фонда будет размещена на сайте администрации </w:t>
      </w:r>
      <w:proofErr w:type="spellStart"/>
      <w:r w:rsidR="00581E0E">
        <w:t>Бирюсинского</w:t>
      </w:r>
      <w:proofErr w:type="spellEnd"/>
      <w:r w:rsidR="00581E0E">
        <w:t xml:space="preserve"> городского поселения</w:t>
      </w:r>
      <w:r w:rsidR="007E3381">
        <w:t>, а так же на информационных стендах города</w:t>
      </w:r>
      <w:r w:rsidR="00581E0E">
        <w:t>.</w:t>
      </w:r>
    </w:p>
    <w:p w:rsidR="00B74D22" w:rsidRDefault="00B74D22" w:rsidP="006E3D3F">
      <w:pPr>
        <w:ind w:left="-38"/>
        <w:jc w:val="both"/>
      </w:pPr>
    </w:p>
    <w:p w:rsidR="00D44ED1" w:rsidRDefault="00D44ED1" w:rsidP="006E3D3F">
      <w:pPr>
        <w:ind w:left="-38"/>
        <w:jc w:val="both"/>
      </w:pPr>
    </w:p>
    <w:p w:rsidR="00D44ED1" w:rsidRPr="0036180D" w:rsidRDefault="00D44ED1" w:rsidP="00B74D22">
      <w:pPr>
        <w:ind w:left="-38"/>
      </w:pPr>
    </w:p>
    <w:p w:rsidR="001D4C2E" w:rsidRDefault="00D4249E" w:rsidP="00B74D22">
      <w:pPr>
        <w:jc w:val="both"/>
      </w:pPr>
      <w:r>
        <w:t xml:space="preserve">       </w:t>
      </w:r>
    </w:p>
    <w:p w:rsidR="00301E73" w:rsidRDefault="00541001" w:rsidP="00F17649">
      <w:pPr>
        <w:jc w:val="both"/>
      </w:pPr>
      <w:r>
        <w:t>Н</w:t>
      </w:r>
      <w:r w:rsidR="001D4C2E">
        <w:t xml:space="preserve">ачальник отдела по </w:t>
      </w:r>
      <w:r w:rsidR="00301E73">
        <w:t xml:space="preserve">вопросам </w:t>
      </w:r>
      <w:r w:rsidR="001D4C2E">
        <w:t>ЖКХ,</w:t>
      </w:r>
      <w:r w:rsidR="00EF64E3">
        <w:t xml:space="preserve"> </w:t>
      </w:r>
      <w:r w:rsidR="001D4C2E">
        <w:t xml:space="preserve">земельным, </w:t>
      </w:r>
    </w:p>
    <w:p w:rsidR="00301E73" w:rsidRDefault="00D44F30" w:rsidP="00F17649">
      <w:pPr>
        <w:jc w:val="both"/>
      </w:pPr>
      <w:proofErr w:type="gramStart"/>
      <w:r>
        <w:t>и</w:t>
      </w:r>
      <w:r w:rsidR="001D4C2E">
        <w:t>мущественным</w:t>
      </w:r>
      <w:proofErr w:type="gramEnd"/>
      <w:r w:rsidR="00301E73">
        <w:t xml:space="preserve"> </w:t>
      </w:r>
      <w:r w:rsidR="00F05C5E">
        <w:t>отно</w:t>
      </w:r>
      <w:r w:rsidR="001D4C2E">
        <w:t>шениям,</w:t>
      </w:r>
      <w:r w:rsidR="00EF64E3">
        <w:t xml:space="preserve"> </w:t>
      </w:r>
    </w:p>
    <w:p w:rsidR="00107ABE" w:rsidRPr="00107ABE" w:rsidRDefault="001D4C2E" w:rsidP="00F17649">
      <w:pPr>
        <w:jc w:val="both"/>
      </w:pPr>
      <w:proofErr w:type="gramStart"/>
      <w:r>
        <w:t>градостроительству</w:t>
      </w:r>
      <w:proofErr w:type="gramEnd"/>
      <w:r>
        <w:t xml:space="preserve"> и благоустройству</w:t>
      </w:r>
      <w:r w:rsidR="00F05C5E">
        <w:t xml:space="preserve">          </w:t>
      </w:r>
      <w:r w:rsidR="00A81454" w:rsidRPr="0036180D">
        <w:t xml:space="preserve"> </w:t>
      </w:r>
      <w:r w:rsidR="00EF64E3">
        <w:t xml:space="preserve">        </w:t>
      </w:r>
      <w:r w:rsidR="00A81454">
        <w:t xml:space="preserve"> </w:t>
      </w:r>
      <w:r w:rsidR="00F17649">
        <w:t xml:space="preserve">                 </w:t>
      </w:r>
      <w:r w:rsidR="00974E74">
        <w:t xml:space="preserve">      </w:t>
      </w:r>
      <w:r w:rsidR="00301E73">
        <w:t xml:space="preserve">  </w:t>
      </w:r>
      <w:r w:rsidR="000C3AA7">
        <w:t xml:space="preserve">  </w:t>
      </w:r>
      <w:r w:rsidR="00684AA0">
        <w:t xml:space="preserve">  </w:t>
      </w:r>
      <w:r w:rsidR="000C3AA7">
        <w:t xml:space="preserve">   </w:t>
      </w:r>
      <w:r w:rsidR="00A81454">
        <w:t xml:space="preserve"> </w:t>
      </w:r>
      <w:r w:rsidR="00A81454" w:rsidRPr="0036180D">
        <w:t xml:space="preserve"> </w:t>
      </w:r>
      <w:r w:rsidR="00301E73">
        <w:t>Т.А. Серебренникова</w:t>
      </w:r>
    </w:p>
    <w:sectPr w:rsidR="00107ABE" w:rsidRPr="00107ABE" w:rsidSect="00FA5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849" w:bottom="993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CA" w:rsidRDefault="005672CA">
      <w:r>
        <w:separator/>
      </w:r>
    </w:p>
  </w:endnote>
  <w:endnote w:type="continuationSeparator" w:id="0">
    <w:p w:rsidR="005672CA" w:rsidRDefault="0056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CA" w:rsidRDefault="005672CA">
      <w:r>
        <w:separator/>
      </w:r>
    </w:p>
  </w:footnote>
  <w:footnote w:type="continuationSeparator" w:id="0">
    <w:p w:rsidR="005672CA" w:rsidRDefault="0056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DA4E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73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384" w:rsidRDefault="009E738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9E7384">
    <w:pPr>
      <w:pStyle w:val="a8"/>
      <w:framePr w:wrap="around" w:vAnchor="text" w:hAnchor="margin" w:xAlign="right" w:y="1"/>
      <w:rPr>
        <w:rStyle w:val="a9"/>
      </w:rPr>
    </w:pPr>
  </w:p>
  <w:p w:rsidR="009E7384" w:rsidRDefault="009E7384" w:rsidP="003B68FC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8A42DEF"/>
    <w:multiLevelType w:val="hybridMultilevel"/>
    <w:tmpl w:val="A724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53D42"/>
    <w:multiLevelType w:val="hybridMultilevel"/>
    <w:tmpl w:val="8D7A13DE"/>
    <w:lvl w:ilvl="0" w:tplc="9F5E7A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08C367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4723F7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60120C6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3CCE06B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D74194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110558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6D4E4A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F08191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3DF6432"/>
    <w:multiLevelType w:val="hybridMultilevel"/>
    <w:tmpl w:val="DD9078F8"/>
    <w:lvl w:ilvl="0" w:tplc="0DD6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4AA61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0E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06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8F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28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0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0D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C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B5BB7"/>
    <w:multiLevelType w:val="hybridMultilevel"/>
    <w:tmpl w:val="AB6CD152"/>
    <w:lvl w:ilvl="0" w:tplc="42F87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61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89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AE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A4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3A9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66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20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0E9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D1"/>
    <w:rsid w:val="00006A0D"/>
    <w:rsid w:val="00021DAF"/>
    <w:rsid w:val="00035585"/>
    <w:rsid w:val="00043A1F"/>
    <w:rsid w:val="00044DB3"/>
    <w:rsid w:val="00062768"/>
    <w:rsid w:val="00064A34"/>
    <w:rsid w:val="000713D6"/>
    <w:rsid w:val="00086836"/>
    <w:rsid w:val="000A11E7"/>
    <w:rsid w:val="000A1C55"/>
    <w:rsid w:val="000B142F"/>
    <w:rsid w:val="000C3AA7"/>
    <w:rsid w:val="000D63DC"/>
    <w:rsid w:val="000E4122"/>
    <w:rsid w:val="000F2189"/>
    <w:rsid w:val="00107ABE"/>
    <w:rsid w:val="00145A43"/>
    <w:rsid w:val="00170468"/>
    <w:rsid w:val="00172486"/>
    <w:rsid w:val="001B1972"/>
    <w:rsid w:val="001C0D1E"/>
    <w:rsid w:val="001C4E45"/>
    <w:rsid w:val="001D0BD8"/>
    <w:rsid w:val="001D4C2E"/>
    <w:rsid w:val="001D6DDE"/>
    <w:rsid w:val="00202C0B"/>
    <w:rsid w:val="00203051"/>
    <w:rsid w:val="00210E55"/>
    <w:rsid w:val="0022051B"/>
    <w:rsid w:val="00226269"/>
    <w:rsid w:val="00240ECC"/>
    <w:rsid w:val="00251C0B"/>
    <w:rsid w:val="00285E96"/>
    <w:rsid w:val="002A4040"/>
    <w:rsid w:val="002C4A86"/>
    <w:rsid w:val="002C577A"/>
    <w:rsid w:val="002F6161"/>
    <w:rsid w:val="00301E73"/>
    <w:rsid w:val="00321028"/>
    <w:rsid w:val="00335BE1"/>
    <w:rsid w:val="00364ECC"/>
    <w:rsid w:val="00376BD6"/>
    <w:rsid w:val="003969E9"/>
    <w:rsid w:val="003B68FC"/>
    <w:rsid w:val="003B7860"/>
    <w:rsid w:val="003C5E0F"/>
    <w:rsid w:val="003C6766"/>
    <w:rsid w:val="003C6F94"/>
    <w:rsid w:val="004057EF"/>
    <w:rsid w:val="004155CA"/>
    <w:rsid w:val="00417A3E"/>
    <w:rsid w:val="00417BC0"/>
    <w:rsid w:val="00481334"/>
    <w:rsid w:val="004955AC"/>
    <w:rsid w:val="00497C3E"/>
    <w:rsid w:val="004A7A39"/>
    <w:rsid w:val="004A7DEE"/>
    <w:rsid w:val="004F5DFC"/>
    <w:rsid w:val="004F77BC"/>
    <w:rsid w:val="0051089A"/>
    <w:rsid w:val="0053712E"/>
    <w:rsid w:val="00541001"/>
    <w:rsid w:val="00560D8C"/>
    <w:rsid w:val="00564DCD"/>
    <w:rsid w:val="005672CA"/>
    <w:rsid w:val="00572887"/>
    <w:rsid w:val="00576270"/>
    <w:rsid w:val="00581E0E"/>
    <w:rsid w:val="005B38E2"/>
    <w:rsid w:val="005B47EA"/>
    <w:rsid w:val="00606C14"/>
    <w:rsid w:val="00607347"/>
    <w:rsid w:val="00610981"/>
    <w:rsid w:val="00637DB4"/>
    <w:rsid w:val="00640C13"/>
    <w:rsid w:val="00651CDE"/>
    <w:rsid w:val="00655E47"/>
    <w:rsid w:val="00684AA0"/>
    <w:rsid w:val="00693A37"/>
    <w:rsid w:val="006D53AA"/>
    <w:rsid w:val="006E3D3F"/>
    <w:rsid w:val="006E6F65"/>
    <w:rsid w:val="006F294F"/>
    <w:rsid w:val="00791116"/>
    <w:rsid w:val="007961BA"/>
    <w:rsid w:val="007E3381"/>
    <w:rsid w:val="00837BC7"/>
    <w:rsid w:val="00851CFB"/>
    <w:rsid w:val="0087677A"/>
    <w:rsid w:val="00892810"/>
    <w:rsid w:val="008A5C1F"/>
    <w:rsid w:val="008B2815"/>
    <w:rsid w:val="008C00F5"/>
    <w:rsid w:val="008C416C"/>
    <w:rsid w:val="008E10B7"/>
    <w:rsid w:val="008E3BCD"/>
    <w:rsid w:val="008E6579"/>
    <w:rsid w:val="00905D41"/>
    <w:rsid w:val="00920D5E"/>
    <w:rsid w:val="00940ACF"/>
    <w:rsid w:val="00943E14"/>
    <w:rsid w:val="0097307B"/>
    <w:rsid w:val="00974E74"/>
    <w:rsid w:val="009761EA"/>
    <w:rsid w:val="00976EBF"/>
    <w:rsid w:val="00984DF8"/>
    <w:rsid w:val="00990604"/>
    <w:rsid w:val="009959FD"/>
    <w:rsid w:val="009E7384"/>
    <w:rsid w:val="009F0A0B"/>
    <w:rsid w:val="009F336A"/>
    <w:rsid w:val="00A06C26"/>
    <w:rsid w:val="00A15539"/>
    <w:rsid w:val="00A427A9"/>
    <w:rsid w:val="00A451CA"/>
    <w:rsid w:val="00A5085F"/>
    <w:rsid w:val="00A61F0D"/>
    <w:rsid w:val="00A63401"/>
    <w:rsid w:val="00A77C52"/>
    <w:rsid w:val="00A81454"/>
    <w:rsid w:val="00A84890"/>
    <w:rsid w:val="00A94480"/>
    <w:rsid w:val="00AB7E0D"/>
    <w:rsid w:val="00AC45D5"/>
    <w:rsid w:val="00AC7E39"/>
    <w:rsid w:val="00AD75D7"/>
    <w:rsid w:val="00B07039"/>
    <w:rsid w:val="00B25763"/>
    <w:rsid w:val="00B50DEA"/>
    <w:rsid w:val="00B6333D"/>
    <w:rsid w:val="00B74D22"/>
    <w:rsid w:val="00B97789"/>
    <w:rsid w:val="00BA0A84"/>
    <w:rsid w:val="00BB7391"/>
    <w:rsid w:val="00BD78B8"/>
    <w:rsid w:val="00C01AB5"/>
    <w:rsid w:val="00C174FF"/>
    <w:rsid w:val="00C369A3"/>
    <w:rsid w:val="00C551A2"/>
    <w:rsid w:val="00C7035D"/>
    <w:rsid w:val="00C720ED"/>
    <w:rsid w:val="00C759D0"/>
    <w:rsid w:val="00C779EB"/>
    <w:rsid w:val="00C86C3C"/>
    <w:rsid w:val="00CB1C11"/>
    <w:rsid w:val="00CC717C"/>
    <w:rsid w:val="00CD1852"/>
    <w:rsid w:val="00CD2C56"/>
    <w:rsid w:val="00CF47CD"/>
    <w:rsid w:val="00CF4B3E"/>
    <w:rsid w:val="00D0439F"/>
    <w:rsid w:val="00D2126C"/>
    <w:rsid w:val="00D22B59"/>
    <w:rsid w:val="00D26062"/>
    <w:rsid w:val="00D36143"/>
    <w:rsid w:val="00D4249E"/>
    <w:rsid w:val="00D44ED1"/>
    <w:rsid w:val="00D44F30"/>
    <w:rsid w:val="00D6028C"/>
    <w:rsid w:val="00D62E34"/>
    <w:rsid w:val="00D8195B"/>
    <w:rsid w:val="00D85C06"/>
    <w:rsid w:val="00DA4EA7"/>
    <w:rsid w:val="00DB0AEE"/>
    <w:rsid w:val="00DB1C5B"/>
    <w:rsid w:val="00DB27BD"/>
    <w:rsid w:val="00DC6940"/>
    <w:rsid w:val="00DD0B1D"/>
    <w:rsid w:val="00E01B37"/>
    <w:rsid w:val="00E03A8F"/>
    <w:rsid w:val="00E14B33"/>
    <w:rsid w:val="00E17341"/>
    <w:rsid w:val="00E26260"/>
    <w:rsid w:val="00E456CC"/>
    <w:rsid w:val="00EA68E2"/>
    <w:rsid w:val="00EA6E0F"/>
    <w:rsid w:val="00EB3DAF"/>
    <w:rsid w:val="00ED6AE5"/>
    <w:rsid w:val="00EE13B8"/>
    <w:rsid w:val="00EF64E3"/>
    <w:rsid w:val="00F04489"/>
    <w:rsid w:val="00F05C5E"/>
    <w:rsid w:val="00F160E2"/>
    <w:rsid w:val="00F17649"/>
    <w:rsid w:val="00F21BE1"/>
    <w:rsid w:val="00F26B26"/>
    <w:rsid w:val="00F31AD0"/>
    <w:rsid w:val="00F45637"/>
    <w:rsid w:val="00F46400"/>
    <w:rsid w:val="00F66FE0"/>
    <w:rsid w:val="00F74307"/>
    <w:rsid w:val="00FA24C9"/>
    <w:rsid w:val="00FA5073"/>
    <w:rsid w:val="00FB41EB"/>
    <w:rsid w:val="00FB7B4B"/>
    <w:rsid w:val="00FC127D"/>
    <w:rsid w:val="00FD1EE9"/>
    <w:rsid w:val="00FE15D1"/>
    <w:rsid w:val="00FF1078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6D761-3BB4-4277-8C43-C8729025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BD"/>
    <w:rPr>
      <w:sz w:val="24"/>
      <w:szCs w:val="24"/>
    </w:rPr>
  </w:style>
  <w:style w:type="paragraph" w:styleId="1">
    <w:name w:val="heading 1"/>
    <w:basedOn w:val="a"/>
    <w:next w:val="a"/>
    <w:qFormat/>
    <w:rsid w:val="00DB27BD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27BD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27B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27BD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27BD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27BD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27BD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7BD"/>
    <w:rPr>
      <w:szCs w:val="20"/>
    </w:rPr>
  </w:style>
  <w:style w:type="paragraph" w:styleId="a5">
    <w:name w:val="Subtitle"/>
    <w:basedOn w:val="a"/>
    <w:qFormat/>
    <w:rsid w:val="00DB27BD"/>
    <w:rPr>
      <w:b/>
      <w:bCs/>
    </w:rPr>
  </w:style>
  <w:style w:type="paragraph" w:styleId="21">
    <w:name w:val="Body Text 2"/>
    <w:basedOn w:val="a"/>
    <w:rsid w:val="00DB27BD"/>
    <w:rPr>
      <w:b/>
      <w:sz w:val="28"/>
    </w:rPr>
  </w:style>
  <w:style w:type="paragraph" w:styleId="30">
    <w:name w:val="Body Text 3"/>
    <w:basedOn w:val="a"/>
    <w:rsid w:val="00DB27BD"/>
    <w:rPr>
      <w:b/>
      <w:i/>
      <w:sz w:val="28"/>
    </w:rPr>
  </w:style>
  <w:style w:type="paragraph" w:styleId="a6">
    <w:name w:val="Title"/>
    <w:basedOn w:val="a"/>
    <w:link w:val="a7"/>
    <w:qFormat/>
    <w:rsid w:val="00DB27BD"/>
    <w:pPr>
      <w:jc w:val="center"/>
    </w:pPr>
    <w:rPr>
      <w:b/>
      <w:bCs/>
    </w:rPr>
  </w:style>
  <w:style w:type="paragraph" w:styleId="22">
    <w:name w:val="Body Text Indent 2"/>
    <w:basedOn w:val="a"/>
    <w:rsid w:val="00DB27BD"/>
    <w:pPr>
      <w:spacing w:after="120" w:line="480" w:lineRule="auto"/>
      <w:ind w:left="283"/>
    </w:pPr>
  </w:style>
  <w:style w:type="paragraph" w:styleId="a8">
    <w:name w:val="header"/>
    <w:basedOn w:val="a"/>
    <w:rsid w:val="00DB27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B27BD"/>
  </w:style>
  <w:style w:type="paragraph" w:styleId="aa">
    <w:name w:val="caption"/>
    <w:basedOn w:val="a"/>
    <w:next w:val="a"/>
    <w:qFormat/>
    <w:rsid w:val="00DB27BD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DB27BD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DB27BD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107ABE"/>
    <w:rPr>
      <w:sz w:val="24"/>
    </w:rPr>
  </w:style>
  <w:style w:type="paragraph" w:styleId="ae">
    <w:name w:val="footer"/>
    <w:basedOn w:val="a"/>
    <w:link w:val="af"/>
    <w:rsid w:val="003B6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B68FC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A81454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A4040"/>
  </w:style>
  <w:style w:type="character" w:styleId="af0">
    <w:name w:val="Hyperlink"/>
    <w:basedOn w:val="a0"/>
    <w:uiPriority w:val="99"/>
    <w:unhideWhenUsed/>
    <w:rsid w:val="002A4040"/>
    <w:rPr>
      <w:color w:val="0000FF"/>
      <w:u w:val="single"/>
    </w:rPr>
  </w:style>
  <w:style w:type="paragraph" w:customStyle="1" w:styleId="ConsPlusNormal">
    <w:name w:val="ConsPlusNormal"/>
    <w:rsid w:val="00F26B26"/>
    <w:pPr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rsid w:val="00EE13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МКД, подлежащих капитальному ремонту в краткосрочном плане за 2016-2019г.г.</a:t>
            </a:r>
          </a:p>
        </c:rich>
      </c:tx>
      <c:layout>
        <c:manualLayout>
          <c:xMode val="edge"/>
          <c:yMode val="edge"/>
          <c:x val="0.15926607152333036"/>
          <c:y val="1.6613039649113653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832E-2"/>
          <c:y val="0.18435869934862795"/>
          <c:w val="0.95634920634920706"/>
          <c:h val="0.671007054350764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МКД, подлежащих капитальному ремонту в краткосрочном плане за 2016-2019г.г.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841269841269866E-3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4126984127059E-3"/>
                  <c:y val="0.30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682539682539724E-3"/>
                  <c:y val="0.25793650793650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058632"/>
        <c:axId val="395317000"/>
        <c:axId val="0"/>
      </c:bar3DChart>
      <c:catAx>
        <c:axId val="391058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chemeClr val="tx1">
                    <a:lumMod val="95000"/>
                    <a:lumOff val="5000"/>
                  </a:schemeClr>
                </a:solidFill>
              </a:defRPr>
            </a:pPr>
            <a:endParaRPr lang="ru-RU"/>
          </a:p>
        </c:txPr>
        <c:crossAx val="395317000"/>
        <c:crosses val="autoZero"/>
        <c:auto val="1"/>
        <c:lblAlgn val="ctr"/>
        <c:lblOffset val="100"/>
        <c:noMultiLvlLbl val="0"/>
      </c:catAx>
      <c:valAx>
        <c:axId val="395317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910586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Динамика собираемости взносов за капитальный ремонт МКД</a:t>
            </a:r>
          </a:p>
        </c:rich>
      </c:tx>
      <c:layout>
        <c:manualLayout>
          <c:xMode val="edge"/>
          <c:yMode val="edge"/>
          <c:x val="0.13718473531615719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803271227867803E-3"/>
          <c:y val="0.14115238950835843"/>
          <c:w val="0.99041967287721289"/>
          <c:h val="0.648521904560588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начислено, млн.руб.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2371364653243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860488290981199E-3"/>
                  <c:y val="-1.789709172259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930244145490781E-3"/>
                  <c:y val="-2.6845637583892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790732436472375E-3"/>
                  <c:y val="-1.789709172259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01.01.2016г.</c:v>
                </c:pt>
                <c:pt idx="1">
                  <c:v>на 01.01.2017г.</c:v>
                </c:pt>
                <c:pt idx="2">
                  <c:v>на 01.01.2018г.</c:v>
                </c:pt>
                <c:pt idx="3">
                  <c:v>на 01.01.2019г.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6.4</c:v>
                </c:pt>
                <c:pt idx="1">
                  <c:v>11.9</c:v>
                </c:pt>
                <c:pt idx="2">
                  <c:v>16.100000000000001</c:v>
                </c:pt>
                <c:pt idx="3">
                  <c:v>23.6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оплачено, млн.руб.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790732436472375E-3"/>
                  <c:y val="-1.789709172259507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720976581963143E-3"/>
                  <c:y val="-2.23717169581991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790732436472375E-3"/>
                  <c:y val="-1.789709172259507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790732436472375E-3"/>
                  <c:y val="-1.789709172259507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01.01.2016г.</c:v>
                </c:pt>
                <c:pt idx="1">
                  <c:v>на 01.01.2017г.</c:v>
                </c:pt>
                <c:pt idx="2">
                  <c:v>на 01.01.2018г.</c:v>
                </c:pt>
                <c:pt idx="3">
                  <c:v>на 01.01.2019г.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2.9</c:v>
                </c:pt>
                <c:pt idx="1">
                  <c:v>6.9</c:v>
                </c:pt>
                <c:pt idx="2">
                  <c:v>10.1</c:v>
                </c:pt>
                <c:pt idx="3">
                  <c:v>16.5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собираемость,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5814648729447E-2"/>
                  <c:y val="-8.9485458612975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923268560039875E-2"/>
                  <c:y val="-8.94854586129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9651220727454744E-3"/>
                  <c:y val="-8.94854586129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9651220727454051E-3"/>
                  <c:y val="-8.94854586129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01.01.2016г.</c:v>
                </c:pt>
                <c:pt idx="1">
                  <c:v>на 01.01.2017г.</c:v>
                </c:pt>
                <c:pt idx="2">
                  <c:v>на 01.01.2018г.</c:v>
                </c:pt>
                <c:pt idx="3">
                  <c:v>на 01.01.2019г.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  <c:pt idx="1">
                  <c:v>58</c:v>
                </c:pt>
                <c:pt idx="2">
                  <c:v>63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95317784"/>
        <c:axId val="395318176"/>
        <c:axId val="0"/>
      </c:bar3DChart>
      <c:catAx>
        <c:axId val="395317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395318176"/>
        <c:crosses val="autoZero"/>
        <c:auto val="1"/>
        <c:lblAlgn val="ctr"/>
        <c:lblOffset val="100"/>
        <c:noMultiLvlLbl val="0"/>
      </c:catAx>
      <c:valAx>
        <c:axId val="395318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953177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278580577427821"/>
          <c:y val="0.90104796683023258"/>
          <c:w val="0.77442838845144368"/>
          <c:h val="9.8684620944121226E-2"/>
        </c:manualLayout>
      </c:layout>
      <c:overlay val="0"/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 w="8890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964A-AAED-49FA-89A3-6C9903B9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8</cp:revision>
  <cp:lastPrinted>2019-01-21T02:49:00Z</cp:lastPrinted>
  <dcterms:created xsi:type="dcterms:W3CDTF">2018-01-10T09:23:00Z</dcterms:created>
  <dcterms:modified xsi:type="dcterms:W3CDTF">2019-01-24T07:43:00Z</dcterms:modified>
</cp:coreProperties>
</file>