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271D8A"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17.04.2018г. № 42</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Pr="00864B90">
        <w:rPr>
          <w:b/>
          <w:sz w:val="22"/>
          <w:szCs w:val="22"/>
        </w:rPr>
        <w:t>зарегистрированное</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0D08D7" w:rsidRPr="007D7C88" w:rsidRDefault="003D16DB" w:rsidP="00864B90">
      <w:pPr>
        <w:jc w:val="center"/>
        <w:rPr>
          <w:b/>
          <w:sz w:val="22"/>
          <w:szCs w:val="22"/>
        </w:rPr>
      </w:pPr>
      <w:r>
        <w:rPr>
          <w:b/>
          <w:sz w:val="22"/>
          <w:szCs w:val="22"/>
        </w:rPr>
        <w:t xml:space="preserve">                18 мая  2018</w:t>
      </w:r>
      <w:r w:rsidR="000D08D7" w:rsidRPr="007D7C88">
        <w:rPr>
          <w:b/>
          <w:sz w:val="22"/>
          <w:szCs w:val="22"/>
        </w:rPr>
        <w:t xml:space="preserve"> года № RU </w:t>
      </w:r>
      <w:r>
        <w:rPr>
          <w:b/>
          <w:sz w:val="22"/>
          <w:szCs w:val="22"/>
        </w:rPr>
        <w:t>385191012018</w:t>
      </w:r>
      <w:r w:rsidR="007D7C88" w:rsidRPr="007D7C88">
        <w:rPr>
          <w:b/>
          <w:sz w:val="22"/>
          <w:szCs w:val="22"/>
        </w:rPr>
        <w:t>00</w:t>
      </w:r>
      <w:r>
        <w:rPr>
          <w:b/>
          <w:sz w:val="22"/>
          <w:szCs w:val="22"/>
        </w:rPr>
        <w:t>1</w:t>
      </w:r>
      <w:r w:rsidR="000D08D7"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w:t>
      </w:r>
      <w:proofErr w:type="spellStart"/>
      <w:r>
        <w:rPr>
          <w:rFonts w:ascii="Times New Roman" w:hAnsi="Times New Roman"/>
          <w:sz w:val="22"/>
          <w:szCs w:val="22"/>
        </w:rPr>
        <w:t>Бирюсинский</w:t>
      </w:r>
      <w:proofErr w:type="spellEnd"/>
      <w:r>
        <w:rPr>
          <w:rFonts w:ascii="Times New Roman" w:hAnsi="Times New Roman"/>
          <w:sz w:val="22"/>
          <w:szCs w:val="22"/>
        </w:rPr>
        <w:t xml:space="preserve"> Вестник </w:t>
      </w:r>
    </w:p>
    <w:p w:rsidR="000D08D7" w:rsidRPr="008C6510" w:rsidRDefault="008C6510" w:rsidP="00864B90">
      <w:pPr>
        <w:pStyle w:val="ConsTitle"/>
        <w:ind w:right="-185" w:firstLine="567"/>
        <w:jc w:val="center"/>
        <w:rPr>
          <w:rFonts w:ascii="Times New Roman" w:hAnsi="Times New Roman"/>
          <w:i/>
          <w:sz w:val="22"/>
          <w:szCs w:val="22"/>
        </w:rPr>
      </w:pPr>
      <w:r w:rsidRPr="008C6510">
        <w:rPr>
          <w:rFonts w:ascii="Times New Roman" w:hAnsi="Times New Roman"/>
          <w:sz w:val="22"/>
          <w:szCs w:val="22"/>
        </w:rPr>
        <w:t>01.06</w:t>
      </w:r>
      <w:r w:rsidR="000D08D7" w:rsidRPr="008C6510">
        <w:rPr>
          <w:rFonts w:ascii="Times New Roman" w:hAnsi="Times New Roman"/>
          <w:sz w:val="22"/>
          <w:szCs w:val="22"/>
        </w:rPr>
        <w:t>.201</w:t>
      </w:r>
      <w:bookmarkStart w:id="0" w:name="_GoBack"/>
      <w:bookmarkEnd w:id="0"/>
      <w:r w:rsidR="003D16DB" w:rsidRPr="008C6510">
        <w:rPr>
          <w:rFonts w:ascii="Times New Roman" w:hAnsi="Times New Roman"/>
          <w:sz w:val="22"/>
          <w:szCs w:val="22"/>
        </w:rPr>
        <w:t>8</w:t>
      </w:r>
      <w:r w:rsidRPr="008C6510">
        <w:rPr>
          <w:rFonts w:ascii="Times New Roman" w:hAnsi="Times New Roman"/>
          <w:sz w:val="22"/>
          <w:szCs w:val="22"/>
        </w:rPr>
        <w:t>г. № 19 (363</w:t>
      </w:r>
      <w:r w:rsidR="000D08D7" w:rsidRPr="008C6510">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w:t>
      </w:r>
      <w:r w:rsidRPr="006D2963">
        <w:rPr>
          <w:rFonts w:ascii="Times New Roman" w:hAnsi="Times New Roman"/>
          <w:sz w:val="22"/>
          <w:szCs w:val="22"/>
        </w:rPr>
        <w:lastRenderedPageBreak/>
        <w:t xml:space="preserve">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рекреационные земли,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Pr="006D2963">
        <w:rPr>
          <w:sz w:val="22"/>
          <w:szCs w:val="22"/>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6D2963" w:rsidRDefault="000D08D7" w:rsidP="00E92DC0">
      <w:pPr>
        <w:autoSpaceDE w:val="0"/>
        <w:autoSpaceDN w:val="0"/>
        <w:adjustRightInd w:val="0"/>
        <w:ind w:firstLine="567"/>
        <w:jc w:val="both"/>
        <w:outlineLvl w:val="1"/>
        <w:rPr>
          <w:b/>
          <w:sz w:val="22"/>
          <w:szCs w:val="22"/>
        </w:rPr>
      </w:pPr>
      <w:r w:rsidRPr="006D2963">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D2963">
        <w:rPr>
          <w:sz w:val="22"/>
          <w:szCs w:val="22"/>
        </w:rPr>
        <w:t>движения</w:t>
      </w:r>
      <w:proofErr w:type="gramEnd"/>
      <w:r w:rsidRPr="006D2963">
        <w:rPr>
          <w:sz w:val="22"/>
          <w:szCs w:val="22"/>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6D2963" w:rsidRDefault="000D08D7" w:rsidP="00E92DC0">
      <w:pPr>
        <w:autoSpaceDE w:val="0"/>
        <w:autoSpaceDN w:val="0"/>
        <w:adjustRightInd w:val="0"/>
        <w:ind w:firstLine="567"/>
        <w:jc w:val="both"/>
        <w:outlineLvl w:val="0"/>
        <w:rPr>
          <w:sz w:val="22"/>
          <w:szCs w:val="22"/>
        </w:rPr>
      </w:pPr>
      <w:r w:rsidRPr="006D2963">
        <w:rPr>
          <w:sz w:val="22"/>
          <w:szCs w:val="22"/>
        </w:rPr>
        <w:t xml:space="preserve"> 20) утверждение правил благоустройства территории поселения, </w:t>
      </w:r>
      <w:proofErr w:type="gramStart"/>
      <w:r w:rsidRPr="006D2963">
        <w:rPr>
          <w:sz w:val="22"/>
          <w:szCs w:val="22"/>
        </w:rPr>
        <w:t>устанавливающих</w:t>
      </w:r>
      <w:proofErr w:type="gramEnd"/>
      <w:r w:rsidRPr="006D2963">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w:t>
      </w:r>
      <w:r w:rsidRPr="006D2963">
        <w:rPr>
          <w:sz w:val="22"/>
          <w:szCs w:val="22"/>
        </w:rPr>
        <w:lastRenderedPageBreak/>
        <w:t>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 xml:space="preserve">            </w:t>
      </w:r>
      <w:proofErr w:type="gramStart"/>
      <w:r w:rsidRPr="006D2963">
        <w:rPr>
          <w:sz w:val="22"/>
          <w:szCs w:val="22"/>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6D2963">
          <w:rPr>
            <w:rStyle w:val="a3"/>
            <w:rFonts w:ascii="Times New Roman" w:hAnsi="Times New Roman"/>
            <w:color w:val="auto"/>
            <w:sz w:val="22"/>
            <w:szCs w:val="22"/>
            <w:u w:val="none"/>
            <w:lang w:val="ru-RU" w:eastAsia="ru-RU"/>
          </w:rPr>
          <w:t>Градостроительным кодексом</w:t>
        </w:r>
      </w:hyperlink>
      <w:r w:rsidRPr="006D296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D2963">
        <w:rPr>
          <w:sz w:val="22"/>
          <w:szCs w:val="22"/>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D08D7" w:rsidRPr="006D2963" w:rsidRDefault="000D08D7" w:rsidP="00E92DC0">
      <w:pPr>
        <w:autoSpaceDE w:val="0"/>
        <w:autoSpaceDN w:val="0"/>
        <w:adjustRightInd w:val="0"/>
        <w:ind w:firstLine="567"/>
        <w:jc w:val="both"/>
        <w:outlineLvl w:val="0"/>
        <w:rPr>
          <w:color w:val="000000"/>
          <w:sz w:val="22"/>
          <w:szCs w:val="22"/>
          <w:lang w:eastAsia="en-US"/>
        </w:rPr>
      </w:pPr>
      <w:r w:rsidRPr="006D2963">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D2963">
        <w:rPr>
          <w:color w:val="000000"/>
          <w:sz w:val="22"/>
          <w:szCs w:val="22"/>
          <w:lang w:eastAsia="en-US"/>
        </w:rPr>
        <w:t>;</w:t>
      </w:r>
    </w:p>
    <w:p w:rsidR="000D08D7" w:rsidRPr="006D2963" w:rsidRDefault="000D08D7" w:rsidP="00E92DC0">
      <w:pPr>
        <w:autoSpaceDE w:val="0"/>
        <w:autoSpaceDN w:val="0"/>
        <w:adjustRightInd w:val="0"/>
        <w:ind w:firstLine="567"/>
        <w:jc w:val="both"/>
        <w:rPr>
          <w:sz w:val="22"/>
          <w:szCs w:val="22"/>
        </w:rPr>
      </w:pPr>
      <w:r w:rsidRPr="006D2963">
        <w:rPr>
          <w:sz w:val="22"/>
          <w:szCs w:val="22"/>
        </w:rPr>
        <w:t>23) организация ритуальных услуг и содержание мест захоронения;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6D2963">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8C6510" w:rsidRDefault="000D08D7" w:rsidP="007D7070">
      <w:pPr>
        <w:autoSpaceDE w:val="0"/>
        <w:autoSpaceDN w:val="0"/>
        <w:adjustRightInd w:val="0"/>
        <w:jc w:val="both"/>
        <w:rPr>
          <w:sz w:val="22"/>
          <w:szCs w:val="22"/>
        </w:rPr>
      </w:pPr>
      <w:r w:rsidRPr="008C6510">
        <w:rPr>
          <w:sz w:val="22"/>
          <w:szCs w:val="22"/>
        </w:rPr>
        <w:t xml:space="preserve">           12) создание условий для организации </w:t>
      </w:r>
      <w:proofErr w:type="gramStart"/>
      <w:r w:rsidRPr="008C6510">
        <w:rPr>
          <w:sz w:val="22"/>
          <w:szCs w:val="22"/>
        </w:rPr>
        <w:t>проведения независимой оценки качества оказания услуг</w:t>
      </w:r>
      <w:proofErr w:type="gramEnd"/>
      <w:r w:rsidRPr="008C6510">
        <w:rPr>
          <w:sz w:val="22"/>
          <w:szCs w:val="22"/>
        </w:rPr>
        <w:t xml:space="preserve"> организациями в порядке и на условиях, которые установлены федеральными законами;</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t>13) осуществление мероприятий по отлову и содержанию безнадзорных животных,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Pr="008C6510"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принятие Устава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муниципальное образование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8C6510">
        <w:rPr>
          <w:sz w:val="22"/>
          <w:szCs w:val="22"/>
        </w:rPr>
        <w:lastRenderedPageBreak/>
        <w:t xml:space="preserve">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C6510">
        <w:rPr>
          <w:sz w:val="22"/>
          <w:szCs w:val="22"/>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5.1) по организации теплоснабжения, </w:t>
      </w:r>
      <w:proofErr w:type="gramStart"/>
      <w:r w:rsidRPr="008C6510">
        <w:rPr>
          <w:sz w:val="22"/>
          <w:szCs w:val="22"/>
        </w:rPr>
        <w:t>предусмотренными</w:t>
      </w:r>
      <w:proofErr w:type="gramEnd"/>
      <w:r w:rsidRPr="008C6510">
        <w:rPr>
          <w:sz w:val="22"/>
          <w:szCs w:val="22"/>
        </w:rPr>
        <w:t xml:space="preserve"> Федеральным законом «О теплоснабжении»;</w:t>
      </w:r>
    </w:p>
    <w:p w:rsidR="000D08D7" w:rsidRPr="008C6510" w:rsidRDefault="003A0206" w:rsidP="003A0206">
      <w:pPr>
        <w:autoSpaceDE w:val="0"/>
        <w:autoSpaceDN w:val="0"/>
        <w:adjustRightInd w:val="0"/>
        <w:jc w:val="both"/>
        <w:rPr>
          <w:sz w:val="22"/>
          <w:szCs w:val="22"/>
        </w:rPr>
      </w:pPr>
      <w:r w:rsidRPr="008C6510">
        <w:rPr>
          <w:sz w:val="22"/>
          <w:szCs w:val="22"/>
        </w:rPr>
        <w:t xml:space="preserve">           </w:t>
      </w:r>
      <w:r w:rsidR="000D08D7" w:rsidRPr="008C6510">
        <w:rPr>
          <w:sz w:val="22"/>
          <w:szCs w:val="22"/>
        </w:rPr>
        <w:t xml:space="preserve">5.2.) в сфере водоснабжения и водоотведения, </w:t>
      </w:r>
      <w:proofErr w:type="gramStart"/>
      <w:r w:rsidR="000D08D7" w:rsidRPr="008C6510">
        <w:rPr>
          <w:sz w:val="22"/>
          <w:szCs w:val="22"/>
        </w:rPr>
        <w:t>предусмотренными</w:t>
      </w:r>
      <w:proofErr w:type="gramEnd"/>
      <w:r w:rsidR="000D08D7" w:rsidRPr="008C6510">
        <w:rPr>
          <w:sz w:val="22"/>
          <w:szCs w:val="22"/>
        </w:rPr>
        <w:t xml:space="preserve"> Федеральным законом "О водоснабжении и водоотведении";</w:t>
      </w:r>
    </w:p>
    <w:p w:rsidR="003A0206" w:rsidRPr="008C6510" w:rsidRDefault="003A0206" w:rsidP="003A0206">
      <w:pPr>
        <w:autoSpaceDE w:val="0"/>
        <w:autoSpaceDN w:val="0"/>
        <w:adjustRightInd w:val="0"/>
        <w:jc w:val="both"/>
        <w:rPr>
          <w:sz w:val="22"/>
          <w:szCs w:val="22"/>
        </w:rPr>
      </w:pPr>
      <w:r w:rsidRPr="008C6510">
        <w:rPr>
          <w:sz w:val="22"/>
          <w:szCs w:val="22"/>
        </w:rPr>
        <w:t xml:space="preserve">         5.3.)полномочиями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roofErr w:type="gramStart"/>
      <w:r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6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 xml:space="preserve">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w:t>
      </w:r>
      <w:r w:rsidRPr="008C6510">
        <w:rPr>
          <w:rFonts w:ascii="Times New Roman" w:hAnsi="Times New Roman"/>
          <w:sz w:val="22"/>
          <w:szCs w:val="22"/>
        </w:rPr>
        <w:lastRenderedPageBreak/>
        <w:t>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sidRPr="008C6510">
        <w:rPr>
          <w:rFonts w:ascii="Times New Roman" w:hAnsi="Times New Roman"/>
          <w:sz w:val="22"/>
          <w:szCs w:val="22"/>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8C6510">
        <w:rPr>
          <w:rFonts w:ascii="Times New Roman" w:hAnsi="Times New Roman"/>
          <w:sz w:val="22"/>
          <w:szCs w:val="22"/>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2) обеспечивают исполнение решений, принятых на собраниях и конференциях граждан;</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устава или законов 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2.1.)прое</w:t>
      </w:r>
      <w:proofErr w:type="gramStart"/>
      <w:r w:rsidRPr="008C6510">
        <w:rPr>
          <w:rFonts w:ascii="Times New Roman" w:hAnsi="Times New Roman"/>
          <w:sz w:val="22"/>
          <w:szCs w:val="22"/>
        </w:rPr>
        <w:t>кт 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8C6510" w:rsidRDefault="003A0206"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3)</w:t>
      </w:r>
      <w:r w:rsidR="000D08D7" w:rsidRPr="008C6510">
        <w:rPr>
          <w:rFonts w:ascii="Times New Roman" w:hAnsi="Times New Roman"/>
          <w:sz w:val="22"/>
          <w:szCs w:val="22"/>
        </w:rPr>
        <w:t>проекты правил землепользования и застройки, проекты планировки территорий и проекты межевания территорий,</w:t>
      </w:r>
      <w:r w:rsidR="000D08D7" w:rsidRPr="008C6510">
        <w:rPr>
          <w:rFonts w:ascii="Times New Roman" w:hAnsi="Times New Roman"/>
          <w:sz w:val="22"/>
          <w:szCs w:val="22"/>
          <w:shd w:val="clear" w:color="auto" w:fill="FFFFFF"/>
        </w:rPr>
        <w:t xml:space="preserve"> за исключением случаев, предусмотренных Градостроительным кодексом Российской Федерации,</w:t>
      </w:r>
      <w:r w:rsidR="000D08D7" w:rsidRPr="008C6510">
        <w:rPr>
          <w:rFonts w:ascii="Times New Roman" w:hAnsi="Times New Roman"/>
          <w:b/>
          <w:sz w:val="22"/>
          <w:szCs w:val="22"/>
          <w:lang w:eastAsia="en-US"/>
        </w:rPr>
        <w:t xml:space="preserve"> </w:t>
      </w:r>
      <w:r w:rsidR="000D08D7" w:rsidRPr="008C6510">
        <w:rPr>
          <w:rFonts w:ascii="Times New Roman" w:hAnsi="Times New Roman"/>
          <w:sz w:val="22"/>
          <w:szCs w:val="22"/>
          <w:lang w:eastAsia="en-US"/>
        </w:rPr>
        <w:t>проекты правил благоустройства территорий,</w:t>
      </w:r>
      <w:r w:rsidR="000D08D7" w:rsidRPr="008C6510">
        <w:rPr>
          <w:rFonts w:ascii="Times New Roman" w:hAnsi="Times New Roman"/>
          <w:sz w:val="22"/>
          <w:szCs w:val="22"/>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0D08D7" w:rsidRPr="008C6510">
        <w:rPr>
          <w:rFonts w:ascii="Times New Roman" w:hAnsi="Times New Roman"/>
          <w:sz w:val="22"/>
          <w:szCs w:val="22"/>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C6510" w:rsidRDefault="000D08D7" w:rsidP="00E92DC0">
      <w:pPr>
        <w:pStyle w:val="ConsNormal"/>
        <w:ind w:firstLine="567"/>
        <w:jc w:val="both"/>
        <w:rPr>
          <w:rFonts w:ascii="Times New Roman" w:hAnsi="Times New Roman"/>
          <w:sz w:val="22"/>
          <w:szCs w:val="22"/>
          <w:lang w:eastAsia="en-US"/>
        </w:rPr>
      </w:pPr>
      <w:r w:rsidRPr="008C6510">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8C6510">
        <w:rPr>
          <w:rFonts w:ascii="Times New Roman" w:hAnsi="Times New Roman"/>
          <w:sz w:val="22"/>
          <w:szCs w:val="22"/>
          <w:lang w:eastAsia="en-US"/>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Результаты публичных слушаний подлежат опубликованию (обнародованию),</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включая</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мотивированное обоснование принятых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w:t>
      </w:r>
      <w:r w:rsidRPr="008C6510">
        <w:rPr>
          <w:sz w:val="22"/>
          <w:szCs w:val="22"/>
        </w:rPr>
        <w:lastRenderedPageBreak/>
        <w:t xml:space="preserve">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lastRenderedPageBreak/>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муниципального образования в отставку.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утверждение правил содержания и благоустройства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участие в принятии решений по вопросам административно-территориального устройства;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lastRenderedPageBreak/>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w:t>
      </w:r>
      <w:r w:rsidRPr="008C6510">
        <w:rPr>
          <w:rFonts w:ascii="Times New Roman" w:hAnsi="Times New Roman"/>
          <w:sz w:val="22"/>
          <w:szCs w:val="22"/>
        </w:rPr>
        <w:lastRenderedPageBreak/>
        <w:t>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roofErr w:type="gramEnd"/>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8C6510">
        <w:rPr>
          <w:sz w:val="22"/>
          <w:szCs w:val="22"/>
        </w:rPr>
        <w:lastRenderedPageBreak/>
        <w:t>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8"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1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rsidRPr="008C6510">
        <w:rPr>
          <w:sz w:val="22"/>
          <w:szCs w:val="22"/>
        </w:rPr>
        <w:lastRenderedPageBreak/>
        <w:t xml:space="preserve">в которой он состоит в соответствии с </w:t>
      </w:r>
      <w:hyperlink r:id="rId13"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1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16"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17"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 xml:space="preserve">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о назначении выборов главы муниципального образования в соответствии с Федеральным </w:t>
      </w:r>
      <w:hyperlink r:id="rId18"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разработка проектов планов и программ социально-экономического развития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w:t>
      </w:r>
      <w:r w:rsidRPr="008C6510">
        <w:rPr>
          <w:rFonts w:ascii="Times New Roman" w:hAnsi="Times New Roman"/>
          <w:sz w:val="22"/>
          <w:szCs w:val="22"/>
        </w:rPr>
        <w:lastRenderedPageBreak/>
        <w:t>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w:t>
      </w:r>
      <w:proofErr w:type="gramStart"/>
      <w:r w:rsidRPr="008C6510">
        <w:rPr>
          <w:sz w:val="22"/>
          <w:szCs w:val="22"/>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w:t>
      </w:r>
      <w:r w:rsidRPr="008C6510">
        <w:rPr>
          <w:sz w:val="22"/>
          <w:szCs w:val="22"/>
        </w:rPr>
        <w:lastRenderedPageBreak/>
        <w:t>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19"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Официальным опубликованием  муниципального правового акта 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w:t>
      </w:r>
      <w:r w:rsidRPr="008C6510">
        <w:rPr>
          <w:rFonts w:ascii="Times New Roman" w:hAnsi="Times New Roman"/>
          <w:sz w:val="22"/>
          <w:szCs w:val="22"/>
        </w:rPr>
        <w:lastRenderedPageBreak/>
        <w:t xml:space="preserve">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21"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Pr="008C6510">
        <w:rPr>
          <w:sz w:val="22"/>
          <w:szCs w:val="22"/>
        </w:rPr>
        <w:lastRenderedPageBreak/>
        <w:t>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w:t>
      </w:r>
      <w:r w:rsidRPr="008C6510">
        <w:rPr>
          <w:sz w:val="22"/>
          <w:szCs w:val="22"/>
        </w:rPr>
        <w:lastRenderedPageBreak/>
        <w:t>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D08D7" w:rsidRPr="008C6510" w:rsidRDefault="000D08D7" w:rsidP="005E366F">
      <w:pPr>
        <w:jc w:val="both"/>
        <w:rPr>
          <w:sz w:val="22"/>
          <w:szCs w:val="22"/>
        </w:rPr>
      </w:pPr>
      <w:r w:rsidRPr="008C6510">
        <w:rPr>
          <w:sz w:val="22"/>
          <w:szCs w:val="22"/>
        </w:rPr>
        <w:t xml:space="preserve">          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0D08D7" w:rsidRPr="008C6510" w:rsidRDefault="000D08D7" w:rsidP="005E366F">
      <w:pPr>
        <w:pStyle w:val="a4"/>
        <w:ind w:firstLine="567"/>
        <w:jc w:val="both"/>
        <w:rPr>
          <w:rFonts w:ascii="Times New Roman" w:hAnsi="Times New Roman"/>
        </w:rPr>
      </w:pPr>
      <w:r w:rsidRPr="008C6510">
        <w:rPr>
          <w:rFonts w:ascii="Times New Roman" w:hAnsi="Times New Roman"/>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lastRenderedPageBreak/>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 xml:space="preserve">населенного пункта,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3"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w:t>
      </w:r>
      <w:proofErr w:type="gramStart"/>
      <w:r w:rsidRPr="008C6510">
        <w:rPr>
          <w:sz w:val="22"/>
          <w:szCs w:val="22"/>
        </w:rPr>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w:t>
      </w:r>
      <w:r w:rsidRPr="008C6510">
        <w:rPr>
          <w:sz w:val="22"/>
          <w:szCs w:val="22"/>
        </w:rPr>
        <w:lastRenderedPageBreak/>
        <w:t>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8C6510">
        <w:rPr>
          <w:sz w:val="22"/>
          <w:szCs w:val="22"/>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8C6510" w:rsidRDefault="000D08D7" w:rsidP="00E92DC0">
      <w:pPr>
        <w:ind w:firstLine="567"/>
        <w:jc w:val="both"/>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p w:rsidR="000D08D7" w:rsidRPr="008C6510" w:rsidRDefault="000D08D7" w:rsidP="005E366F">
      <w:pPr>
        <w:rPr>
          <w:sz w:val="22"/>
          <w:szCs w:val="22"/>
        </w:rPr>
      </w:pPr>
    </w:p>
    <w:sectPr w:rsidR="000D08D7" w:rsidRPr="008C6510"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CF" w:rsidRDefault="004346CF" w:rsidP="006E415F">
      <w:r>
        <w:separator/>
      </w:r>
    </w:p>
  </w:endnote>
  <w:endnote w:type="continuationSeparator" w:id="0">
    <w:p w:rsidR="004346CF" w:rsidRDefault="004346CF"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CF" w:rsidRDefault="004346CF" w:rsidP="006E415F">
      <w:r>
        <w:separator/>
      </w:r>
    </w:p>
  </w:footnote>
  <w:footnote w:type="continuationSeparator" w:id="0">
    <w:p w:rsidR="004346CF" w:rsidRDefault="004346CF"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4459E"/>
    <w:rsid w:val="00050F31"/>
    <w:rsid w:val="00052CA0"/>
    <w:rsid w:val="00060FF4"/>
    <w:rsid w:val="00087A97"/>
    <w:rsid w:val="000A2052"/>
    <w:rsid w:val="000D08D7"/>
    <w:rsid w:val="000D552A"/>
    <w:rsid w:val="00127600"/>
    <w:rsid w:val="0013262B"/>
    <w:rsid w:val="001666A5"/>
    <w:rsid w:val="00185EFE"/>
    <w:rsid w:val="001C11C9"/>
    <w:rsid w:val="001C646C"/>
    <w:rsid w:val="001F2CA7"/>
    <w:rsid w:val="002174D2"/>
    <w:rsid w:val="00271D8A"/>
    <w:rsid w:val="002B34E7"/>
    <w:rsid w:val="00334285"/>
    <w:rsid w:val="00336FEF"/>
    <w:rsid w:val="003411C8"/>
    <w:rsid w:val="00375C6C"/>
    <w:rsid w:val="0039100A"/>
    <w:rsid w:val="00391BD8"/>
    <w:rsid w:val="003A0206"/>
    <w:rsid w:val="003C20D3"/>
    <w:rsid w:val="003D16DB"/>
    <w:rsid w:val="003F5509"/>
    <w:rsid w:val="003F7B84"/>
    <w:rsid w:val="00406C50"/>
    <w:rsid w:val="004346CF"/>
    <w:rsid w:val="00494A50"/>
    <w:rsid w:val="004B22E3"/>
    <w:rsid w:val="004F572B"/>
    <w:rsid w:val="005251DF"/>
    <w:rsid w:val="005347B1"/>
    <w:rsid w:val="0054112D"/>
    <w:rsid w:val="00597B05"/>
    <w:rsid w:val="005C4C4F"/>
    <w:rsid w:val="005D2330"/>
    <w:rsid w:val="005D6B6A"/>
    <w:rsid w:val="005E366F"/>
    <w:rsid w:val="005F2C7E"/>
    <w:rsid w:val="005F7021"/>
    <w:rsid w:val="00601F4C"/>
    <w:rsid w:val="00606E5F"/>
    <w:rsid w:val="00626B00"/>
    <w:rsid w:val="006C0E3C"/>
    <w:rsid w:val="006D2963"/>
    <w:rsid w:val="006E415F"/>
    <w:rsid w:val="00767584"/>
    <w:rsid w:val="00784660"/>
    <w:rsid w:val="007D7070"/>
    <w:rsid w:val="007D7C88"/>
    <w:rsid w:val="007F6EA2"/>
    <w:rsid w:val="00864B90"/>
    <w:rsid w:val="00880E8E"/>
    <w:rsid w:val="008A3E45"/>
    <w:rsid w:val="008B5E67"/>
    <w:rsid w:val="008C6510"/>
    <w:rsid w:val="00943B3C"/>
    <w:rsid w:val="009447C4"/>
    <w:rsid w:val="00974003"/>
    <w:rsid w:val="0098014C"/>
    <w:rsid w:val="00985CA1"/>
    <w:rsid w:val="009A6F6F"/>
    <w:rsid w:val="009C71D2"/>
    <w:rsid w:val="00A84F9D"/>
    <w:rsid w:val="00A85E57"/>
    <w:rsid w:val="00AE6946"/>
    <w:rsid w:val="00B0134E"/>
    <w:rsid w:val="00B116ED"/>
    <w:rsid w:val="00B64B91"/>
    <w:rsid w:val="00BB3C46"/>
    <w:rsid w:val="00C02122"/>
    <w:rsid w:val="00C419D8"/>
    <w:rsid w:val="00C55638"/>
    <w:rsid w:val="00C74516"/>
    <w:rsid w:val="00C752FB"/>
    <w:rsid w:val="00D55BC6"/>
    <w:rsid w:val="00D62DF3"/>
    <w:rsid w:val="00D700CB"/>
    <w:rsid w:val="00D760AC"/>
    <w:rsid w:val="00DE0900"/>
    <w:rsid w:val="00E25AC7"/>
    <w:rsid w:val="00E27E82"/>
    <w:rsid w:val="00E7391C"/>
    <w:rsid w:val="00E83CA4"/>
    <w:rsid w:val="00E92DC0"/>
    <w:rsid w:val="00EA3F0A"/>
    <w:rsid w:val="00EA5103"/>
    <w:rsid w:val="00EC2665"/>
    <w:rsid w:val="00ED1353"/>
    <w:rsid w:val="00ED7CB1"/>
    <w:rsid w:val="00F11499"/>
    <w:rsid w:val="00F14A4F"/>
    <w:rsid w:val="00F4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3" Type="http://schemas.openxmlformats.org/officeDocument/2006/relationships/settings" Target="settings.xml"/><Relationship Id="rId21" Type="http://schemas.openxmlformats.org/officeDocument/2006/relationships/hyperlink" Target="consultantplus://offline/ref=1FBB8FCE88CC34F398F31200A20880175230B7F11F2D31F0FF11A052B58A7BB95D19FF26B19AEAC4q147C" TargetMode="External"/><Relationship Id="rId7" Type="http://schemas.openxmlformats.org/officeDocument/2006/relationships/hyperlink" Target="garantf1://12038258.510/"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garantF1://702729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F7BC50B2A47F6F8AF561E66B92048F3CD31F268075BCCB1BAB9FFBB2842Db6F" TargetMode="External"/><Relationship Id="rId10" Type="http://schemas.openxmlformats.org/officeDocument/2006/relationships/hyperlink" Target="consultantplus://offline/ref=2C574005746A6358D7F83390BA8E75A80CB171B74B97A905FB9EC27DC7b2UDH" TargetMode="External"/><Relationship Id="rId19" Type="http://schemas.openxmlformats.org/officeDocument/2006/relationships/hyperlink" Target="file:///F:\&#1053;&#1054;&#1042;&#1067;&#1045;%20&#1059;&#1057;&#1058;&#1040;&#1042;&#1067;%20(2)\&#1087;&#1088;&#1086;&#1077;&#1082;&#1090;%202012.doc" TargetMode="Externa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25093</Words>
  <Characters>143035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3</cp:revision>
  <cp:lastPrinted>2018-04-18T02:37:00Z</cp:lastPrinted>
  <dcterms:created xsi:type="dcterms:W3CDTF">2018-05-30T02:38:00Z</dcterms:created>
  <dcterms:modified xsi:type="dcterms:W3CDTF">2018-05-30T02:38:00Z</dcterms:modified>
</cp:coreProperties>
</file>